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864F5">
      <w:pPr>
        <w:pStyle w:val="6"/>
        <w:keepNext w:val="0"/>
        <w:keepLines w:val="0"/>
        <w:pageBreakBefore w:val="0"/>
        <w:kinsoku/>
        <w:wordWrap w:val="0"/>
        <w:overflowPunct/>
        <w:topLinePunct/>
        <w:bidi w:val="0"/>
        <w:spacing w:line="241" w:lineRule="auto"/>
        <w:rPr>
          <w:rFonts w:hint="eastAsia" w:ascii="宋体" w:hAnsi="宋体" w:eastAsia="宋体" w:cs="宋体"/>
          <w:color w:val="auto"/>
          <w:spacing w:val="0"/>
          <w:highlight w:val="none"/>
        </w:rPr>
      </w:pPr>
      <w:r>
        <w:drawing>
          <wp:inline distT="0" distB="0" distL="114300" distR="114300">
            <wp:extent cx="6237605" cy="8907145"/>
            <wp:effectExtent l="0" t="0" r="10795" b="8255"/>
            <wp:docPr id="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
                    <pic:cNvPicPr>
                      <a:picLocks noChangeAspect="1"/>
                    </pic:cNvPicPr>
                  </pic:nvPicPr>
                  <pic:blipFill>
                    <a:blip r:embed="rId25"/>
                    <a:stretch>
                      <a:fillRect/>
                    </a:stretch>
                  </pic:blipFill>
                  <pic:spPr>
                    <a:xfrm>
                      <a:off x="0" y="0"/>
                      <a:ext cx="6237605" cy="8907145"/>
                    </a:xfrm>
                    <a:prstGeom prst="rect">
                      <a:avLst/>
                    </a:prstGeom>
                    <a:noFill/>
                    <a:ln>
                      <a:noFill/>
                    </a:ln>
                  </pic:spPr>
                </pic:pic>
              </a:graphicData>
            </a:graphic>
          </wp:inline>
        </w:drawing>
      </w:r>
    </w:p>
    <w:p w14:paraId="308A0EBC">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329FB4DA">
      <w:pPr>
        <w:keepNext w:val="0"/>
        <w:keepLines w:val="0"/>
        <w:pageBreakBefore w:val="0"/>
        <w:kinsoku/>
        <w:wordWrap w:val="0"/>
        <w:overflowPunct/>
        <w:topLinePunct/>
        <w:bidi w:val="0"/>
        <w:jc w:val="center"/>
        <w:rPr>
          <w:rFonts w:hint="eastAsia" w:ascii="宋体" w:hAnsi="宋体" w:eastAsia="宋体" w:cs="宋体"/>
          <w:b/>
          <w:bCs/>
          <w:color w:val="auto"/>
          <w:spacing w:val="0"/>
          <w:sz w:val="28"/>
          <w:szCs w:val="28"/>
          <w:highlight w:val="none"/>
          <w:lang w:eastAsia="zh-CN"/>
        </w:rPr>
        <w:sectPr>
          <w:headerReference r:id="rId3" w:type="default"/>
          <w:pgSz w:w="11906" w:h="16839"/>
          <w:pgMar w:top="1247" w:right="1247" w:bottom="1247" w:left="1247" w:header="1202" w:footer="0" w:gutter="0"/>
          <w:pgBorders>
            <w:top w:val="none" w:sz="0" w:space="0"/>
            <w:left w:val="none" w:sz="0" w:space="0"/>
            <w:bottom w:val="none" w:sz="0" w:space="0"/>
            <w:right w:val="none" w:sz="0" w:space="0"/>
          </w:pgBorders>
          <w:pgNumType w:start="1"/>
          <w:cols w:space="0" w:num="1"/>
          <w:rtlGutter w:val="0"/>
          <w:docGrid w:linePitch="0" w:charSpace="0"/>
        </w:sectPr>
      </w:pPr>
    </w:p>
    <w:p w14:paraId="558EDD33">
      <w:pPr>
        <w:keepNext w:val="0"/>
        <w:keepLines w:val="0"/>
        <w:pageBreakBefore w:val="0"/>
        <w:kinsoku/>
        <w:wordWrap w:val="0"/>
        <w:overflowPunct/>
        <w:topLinePunct/>
        <w:bidi w:val="0"/>
        <w:jc w:val="center"/>
        <w:rPr>
          <w:rFonts w:hint="eastAsia" w:ascii="宋体" w:hAnsi="宋体" w:eastAsia="宋体" w:cs="宋体"/>
          <w:b/>
          <w:bCs/>
          <w:color w:val="auto"/>
          <w:spacing w:val="0"/>
          <w:sz w:val="36"/>
          <w:szCs w:val="36"/>
          <w:highlight w:val="none"/>
        </w:rPr>
      </w:pPr>
      <w:r>
        <w:rPr>
          <w:rFonts w:hint="eastAsia" w:ascii="宋体" w:hAnsi="宋体" w:eastAsia="宋体" w:cs="宋体"/>
          <w:b/>
          <w:bCs/>
          <w:color w:val="auto"/>
          <w:spacing w:val="0"/>
          <w:sz w:val="36"/>
          <w:szCs w:val="36"/>
          <w:highlight w:val="none"/>
        </w:rPr>
        <w:t>目</w:t>
      </w:r>
      <w:r>
        <w:rPr>
          <w:rFonts w:hint="eastAsia" w:ascii="宋体" w:hAnsi="宋体" w:eastAsia="宋体" w:cs="宋体"/>
          <w:b/>
          <w:bCs/>
          <w:color w:val="auto"/>
          <w:spacing w:val="0"/>
          <w:sz w:val="36"/>
          <w:szCs w:val="36"/>
          <w:highlight w:val="none"/>
          <w:lang w:val="en-US" w:eastAsia="zh-CN"/>
        </w:rPr>
        <w:t xml:space="preserve">  </w:t>
      </w:r>
      <w:r>
        <w:rPr>
          <w:rFonts w:hint="eastAsia" w:ascii="宋体" w:hAnsi="宋体" w:eastAsia="宋体" w:cs="宋体"/>
          <w:b/>
          <w:bCs/>
          <w:color w:val="auto"/>
          <w:spacing w:val="0"/>
          <w:sz w:val="36"/>
          <w:szCs w:val="36"/>
          <w:highlight w:val="none"/>
        </w:rPr>
        <w:t>录</w:t>
      </w:r>
    </w:p>
    <w:p w14:paraId="343FCF15">
      <w:pPr>
        <w:keepNext w:val="0"/>
        <w:keepLines w:val="0"/>
        <w:pageBreakBefore w:val="0"/>
        <w:kinsoku/>
        <w:wordWrap w:val="0"/>
        <w:overflowPunct/>
        <w:topLinePunct/>
        <w:bidi w:val="0"/>
        <w:jc w:val="center"/>
        <w:rPr>
          <w:rFonts w:hint="eastAsia" w:ascii="宋体" w:hAnsi="宋体" w:eastAsia="宋体" w:cs="宋体"/>
          <w:b/>
          <w:bCs/>
          <w:color w:val="auto"/>
          <w:spacing w:val="0"/>
          <w:sz w:val="28"/>
          <w:szCs w:val="28"/>
          <w:highlight w:val="none"/>
        </w:rPr>
      </w:pPr>
    </w:p>
    <w:p w14:paraId="709465EE">
      <w:pPr>
        <w:pStyle w:val="1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TOC \o "1-3" \h \u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_Toc8358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第一章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Cs/>
          <w:color w:val="auto"/>
          <w:spacing w:val="0"/>
          <w:sz w:val="24"/>
          <w:szCs w:val="24"/>
          <w:highlight w:val="none"/>
        </w:rPr>
        <w:t>投标人须知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_Toc8358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51C68205">
      <w:pPr>
        <w:pStyle w:val="12"/>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_Toc8112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第一节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Cs/>
          <w:color w:val="auto"/>
          <w:spacing w:val="0"/>
          <w:sz w:val="24"/>
          <w:szCs w:val="24"/>
          <w:highlight w:val="none"/>
        </w:rPr>
        <w:t>投标人须知前附表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_Toc8112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20EBBAFF">
      <w:pPr>
        <w:pStyle w:val="12"/>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_Toc19987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第二节 重要事项时间地点一览表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_Toc19987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637A7101">
      <w:pPr>
        <w:pStyle w:val="12"/>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_Toc11279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第三节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Cs/>
          <w:color w:val="auto"/>
          <w:spacing w:val="0"/>
          <w:sz w:val="24"/>
          <w:szCs w:val="24"/>
          <w:highlight w:val="none"/>
        </w:rPr>
        <w:t>投标人须知正文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_Toc11279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3B13C7A5">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_Toc25954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16 ．</w:t>
      </w:r>
      <w:r>
        <w:rPr>
          <w:rFonts w:hint="eastAsia" w:ascii="宋体" w:hAnsi="宋体" w:eastAsia="宋体" w:cs="宋体"/>
          <w:bCs/>
          <w:color w:val="auto"/>
          <w:spacing w:val="0"/>
          <w:sz w:val="24"/>
          <w:szCs w:val="24"/>
          <w:highlight w:val="none"/>
          <w:lang w:val="en-US" w:eastAsia="zh-CN"/>
        </w:rPr>
        <w:t>定</w:t>
      </w:r>
      <w:r>
        <w:rPr>
          <w:rFonts w:hint="eastAsia" w:ascii="宋体" w:hAnsi="宋体" w:eastAsia="宋体" w:cs="宋体"/>
          <w:bCs/>
          <w:color w:val="auto"/>
          <w:spacing w:val="0"/>
          <w:sz w:val="24"/>
          <w:szCs w:val="24"/>
          <w:highlight w:val="none"/>
        </w:rPr>
        <w:t>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_Toc25954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25F18C2D">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_Toc29768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lang w:val="en-US" w:eastAsia="zh-CN"/>
        </w:rPr>
        <w:t>16</w:t>
      </w:r>
      <w:r>
        <w:rPr>
          <w:rFonts w:hint="eastAsia" w:ascii="宋体" w:hAnsi="宋体" w:eastAsia="宋体" w:cs="宋体"/>
          <w:bCs/>
          <w:color w:val="auto"/>
          <w:spacing w:val="0"/>
          <w:sz w:val="24"/>
          <w:szCs w:val="24"/>
          <w:highlight w:val="none"/>
        </w:rPr>
        <w:t>．</w:t>
      </w:r>
      <w:r>
        <w:rPr>
          <w:rFonts w:hint="eastAsia" w:ascii="宋体" w:hAnsi="宋体" w:eastAsia="宋体" w:cs="宋体"/>
          <w:bCs/>
          <w:color w:val="auto"/>
          <w:spacing w:val="0"/>
          <w:sz w:val="24"/>
          <w:szCs w:val="24"/>
          <w:highlight w:val="none"/>
          <w:lang w:val="en-US" w:eastAsia="zh-CN"/>
        </w:rPr>
        <w:t>8 定</w:t>
      </w:r>
      <w:r>
        <w:rPr>
          <w:rFonts w:hint="eastAsia" w:ascii="宋体" w:hAnsi="宋体" w:eastAsia="宋体" w:cs="宋体"/>
          <w:bCs/>
          <w:color w:val="auto"/>
          <w:spacing w:val="0"/>
          <w:sz w:val="24"/>
          <w:szCs w:val="24"/>
          <w:highlight w:val="none"/>
        </w:rPr>
        <w:t>标</w:t>
      </w:r>
      <w:r>
        <w:rPr>
          <w:rFonts w:hint="eastAsia" w:ascii="宋体" w:hAnsi="宋体" w:eastAsia="宋体" w:cs="宋体"/>
          <w:bCs/>
          <w:color w:val="auto"/>
          <w:spacing w:val="0"/>
          <w:sz w:val="24"/>
          <w:szCs w:val="24"/>
          <w:highlight w:val="none"/>
          <w:lang w:val="en-US" w:eastAsia="zh-CN"/>
        </w:rPr>
        <w:t>结果</w:t>
      </w:r>
      <w:r>
        <w:rPr>
          <w:rFonts w:hint="eastAsia" w:ascii="宋体" w:hAnsi="宋体" w:eastAsia="宋体" w:cs="宋体"/>
          <w:bCs/>
          <w:color w:val="auto"/>
          <w:spacing w:val="0"/>
          <w:sz w:val="24"/>
          <w:szCs w:val="24"/>
          <w:highlight w:val="none"/>
        </w:rPr>
        <w:t>公示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_Toc29768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73A012DE">
      <w:pPr>
        <w:pStyle w:val="12"/>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_Toc14567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第四节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Cs/>
          <w:color w:val="auto"/>
          <w:spacing w:val="0"/>
          <w:sz w:val="24"/>
          <w:szCs w:val="24"/>
          <w:highlight w:val="none"/>
        </w:rPr>
        <w:t>否决投标条件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_Toc14567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2F9E64AB">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_Toc28998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1 ．资格评审环节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_Toc28998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36637461">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_Toc26339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2 ．形式评审环节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_Toc26339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09B31C37">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_Toc21910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3 ．响应性评审环节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_Toc21910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26FCFE78">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_Toc22476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4 ．其他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_Toc22476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45AF11CF">
      <w:pPr>
        <w:pStyle w:val="1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_Toc28520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Cs/>
          <w:color w:val="auto"/>
          <w:spacing w:val="0"/>
          <w:sz w:val="24"/>
          <w:szCs w:val="24"/>
          <w:highlight w:val="none"/>
        </w:rPr>
        <w:t>中标人须知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_Toc28520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5CD98153">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_Toc29259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1 ．中标通知书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_Toc29259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57BA35C6">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_Toc24370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2 ．中标结果公示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_Toc24370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5F69D73F">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_Toc32697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3 ．履约保证</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_Toc32697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1EE59FF2">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_Toc20640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4 ．合同订立</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_Toc20640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33F3A39F">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_Toc19946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5 ．放弃中标的处理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_Toc19946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1E470647">
      <w:pPr>
        <w:pStyle w:val="1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_Toc12223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第三章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Cs/>
          <w:color w:val="auto"/>
          <w:spacing w:val="0"/>
          <w:sz w:val="24"/>
          <w:szCs w:val="24"/>
          <w:highlight w:val="none"/>
        </w:rPr>
        <w:t>拟签订合同的主要条款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0298EBD4">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_Toc16405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1 ．工程承包方式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_Toc16405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2FDD61A0">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_Toc25797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2 ．工程结算原则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_Toc25797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7737F31C">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_Toc20491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3</w:t>
      </w:r>
      <w:r>
        <w:rPr>
          <w:rFonts w:hint="eastAsia" w:ascii="宋体" w:hAnsi="宋体" w:eastAsia="宋体" w:cs="宋体"/>
          <w:bCs/>
          <w:color w:val="auto"/>
          <w:spacing w:val="0"/>
          <w:sz w:val="24"/>
          <w:szCs w:val="24"/>
          <w:highlight w:val="none"/>
          <w:lang w:val="en-US" w:eastAsia="zh-CN"/>
        </w:rPr>
        <w:t xml:space="preserve"> </w:t>
      </w:r>
      <w:r>
        <w:rPr>
          <w:rFonts w:hint="eastAsia" w:ascii="宋体" w:hAnsi="宋体" w:eastAsia="宋体" w:cs="宋体"/>
          <w:bCs/>
          <w:color w:val="auto"/>
          <w:spacing w:val="0"/>
          <w:sz w:val="24"/>
          <w:szCs w:val="24"/>
          <w:highlight w:val="none"/>
        </w:rPr>
        <w:t>.</w:t>
      </w:r>
      <w:r>
        <w:rPr>
          <w:rFonts w:hint="eastAsia" w:ascii="宋体" w:hAnsi="宋体" w:eastAsia="宋体" w:cs="宋体"/>
          <w:bCs/>
          <w:color w:val="auto"/>
          <w:spacing w:val="0"/>
          <w:sz w:val="24"/>
          <w:szCs w:val="24"/>
          <w:highlight w:val="none"/>
          <w:lang w:val="en-US" w:eastAsia="zh-CN"/>
        </w:rPr>
        <w:t xml:space="preserve"> </w:t>
      </w:r>
      <w:r>
        <w:rPr>
          <w:rFonts w:hint="eastAsia" w:ascii="宋体" w:hAnsi="宋体" w:eastAsia="宋体" w:cs="宋体"/>
          <w:bCs/>
          <w:color w:val="auto"/>
          <w:spacing w:val="0"/>
          <w:sz w:val="24"/>
          <w:szCs w:val="24"/>
          <w:highlight w:val="none"/>
        </w:rPr>
        <w:t>工程付款办法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_Toc20491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4BCA2686">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_Toc13036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4 ．其他专用合同条款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_Toc13036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1B97185D">
      <w:pPr>
        <w:pStyle w:val="1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_Toc18975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第四章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Cs/>
          <w:color w:val="auto"/>
          <w:spacing w:val="0"/>
          <w:sz w:val="24"/>
          <w:szCs w:val="24"/>
          <w:highlight w:val="none"/>
        </w:rPr>
        <w:t>技术要求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_Toc18975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6113DC7B">
      <w:pPr>
        <w:pStyle w:val="1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_Toc26509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第五章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Cs/>
          <w:color w:val="auto"/>
          <w:spacing w:val="0"/>
          <w:sz w:val="24"/>
          <w:szCs w:val="24"/>
          <w:highlight w:val="none"/>
        </w:rPr>
        <w:t>图纸和招标工程量清单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_Toc26509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4D64AA71">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_Toc3785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1 ．图纸</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_Toc3785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537ED48D">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_Toc2361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2 ．招标工程量清单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_Toc2361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30689EDE">
      <w:pPr>
        <w:pStyle w:val="1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_Toc6190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第六章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Cs/>
          <w:color w:val="auto"/>
          <w:spacing w:val="0"/>
          <w:sz w:val="24"/>
          <w:szCs w:val="24"/>
          <w:highlight w:val="none"/>
        </w:rPr>
        <w:t>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_Toc6190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349FC8C5">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_Toc17523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格式一</w:t>
      </w:r>
      <w:r>
        <w:rPr>
          <w:rFonts w:hint="eastAsia" w:ascii="宋体" w:hAnsi="宋体" w:eastAsia="宋体" w:cs="宋体"/>
          <w:color w:val="auto"/>
          <w:spacing w:val="0"/>
          <w:sz w:val="24"/>
          <w:szCs w:val="24"/>
          <w:highlight w:val="none"/>
        </w:rPr>
        <w:t xml:space="preserve"> </w:t>
      </w:r>
      <w:r>
        <w:rPr>
          <w:rFonts w:hint="eastAsia" w:ascii="宋体" w:hAnsi="宋体" w:eastAsia="宋体" w:cs="宋体"/>
          <w:bCs/>
          <w:color w:val="auto"/>
          <w:spacing w:val="0"/>
          <w:sz w:val="24"/>
          <w:szCs w:val="24"/>
          <w:highlight w:val="none"/>
        </w:rPr>
        <w:t>封面</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_Toc17523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7C49C511">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_Toc30824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格式二 投标函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_Toc30824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2AB49624">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_Toc9640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格式三 各项承诺一览表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_Toc9640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479593D6">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_Toc10302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格式四 授权委托书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6621D8AA">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_Toc4199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格式五 法定代表人身份证明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_Toc4199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781AFF10">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_Toc7003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格式六 联合体协议书</w:t>
      </w:r>
      <w:r>
        <w:rPr>
          <w:rFonts w:hint="eastAsia" w:ascii="宋体" w:hAnsi="宋体" w:eastAsia="宋体" w:cs="宋体"/>
          <w:bCs/>
          <w:color w:val="auto"/>
          <w:spacing w:val="0"/>
          <w:sz w:val="24"/>
          <w:szCs w:val="24"/>
          <w:highlight w:val="none"/>
          <w:lang w:eastAsia="zh-CN"/>
        </w:rPr>
        <w:t>（</w:t>
      </w:r>
      <w:r>
        <w:rPr>
          <w:rFonts w:hint="eastAsia" w:ascii="宋体" w:hAnsi="宋体" w:eastAsia="宋体" w:cs="宋体"/>
          <w:bCs/>
          <w:color w:val="auto"/>
          <w:spacing w:val="0"/>
          <w:sz w:val="24"/>
          <w:szCs w:val="24"/>
          <w:highlight w:val="none"/>
          <w:lang w:val="en-US" w:eastAsia="zh-CN"/>
        </w:rPr>
        <w:t>如有</w:t>
      </w:r>
      <w:r>
        <w:rPr>
          <w:rFonts w:hint="eastAsia" w:ascii="宋体" w:hAnsi="宋体" w:eastAsia="宋体" w:cs="宋体"/>
          <w:bCs/>
          <w:color w:val="auto"/>
          <w:spacing w:val="0"/>
          <w:sz w:val="24"/>
          <w:szCs w:val="24"/>
          <w:highlight w:val="none"/>
          <w:lang w:eastAsia="zh-CN"/>
        </w:rPr>
        <w:t>）</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_Toc7003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23E8D073">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_Toc13987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格式七 投标人基本情况表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_Toc13987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76D6E7FC">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_Toc23826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格式八 项目经理简历表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_Toc23826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0950907B">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_Toc15075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格式九 项目经理任职声明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_Toc15075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511E2784">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_Toc16452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格式十 项目技术负责人简历表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_Toc16452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2D6AD589">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_Toc23831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格式十一 项目管理机构组成表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_Toc23831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3C06F0A1">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_Toc9069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lang w:eastAsia="zh-CN"/>
        </w:rPr>
        <w:t>格式十</w:t>
      </w:r>
      <w:r>
        <w:rPr>
          <w:rFonts w:hint="eastAsia" w:ascii="宋体" w:hAnsi="宋体" w:eastAsia="宋体" w:cs="宋体"/>
          <w:bCs/>
          <w:color w:val="auto"/>
          <w:spacing w:val="0"/>
          <w:sz w:val="24"/>
          <w:szCs w:val="24"/>
          <w:highlight w:val="none"/>
          <w:lang w:val="en-US" w:eastAsia="zh-CN"/>
        </w:rPr>
        <w:t>二</w:t>
      </w:r>
      <w:r>
        <w:rPr>
          <w:rFonts w:hint="eastAsia" w:ascii="宋体" w:hAnsi="宋体" w:eastAsia="宋体" w:cs="宋体"/>
          <w:bCs/>
          <w:color w:val="auto"/>
          <w:spacing w:val="0"/>
          <w:sz w:val="24"/>
          <w:szCs w:val="24"/>
          <w:highlight w:val="none"/>
          <w:lang w:eastAsia="zh-CN"/>
        </w:rPr>
        <w:t xml:space="preserve"> 建造师查询页（有效期+建造师签字）</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_Toc9069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54DE0B03">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格式十</w:t>
      </w:r>
      <w:r>
        <w:rPr>
          <w:rFonts w:hint="eastAsia" w:ascii="宋体" w:hAnsi="宋体" w:eastAsia="宋体" w:cs="宋体"/>
          <w:color w:val="auto"/>
          <w:spacing w:val="0"/>
          <w:sz w:val="24"/>
          <w:szCs w:val="24"/>
          <w:highlight w:val="none"/>
          <w:lang w:val="en-US" w:eastAsia="zh-CN"/>
        </w:rPr>
        <w:t>三</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_Toc20203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危险性较大的分部分项工程清单及超过一定规模的危险性较大的分部分项工程清单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_Toc20203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7AE25A11">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_Toc4646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格式十</w:t>
      </w:r>
      <w:r>
        <w:rPr>
          <w:rFonts w:hint="eastAsia" w:ascii="宋体" w:hAnsi="宋体" w:eastAsia="宋体" w:cs="宋体"/>
          <w:bCs/>
          <w:color w:val="auto"/>
          <w:spacing w:val="0"/>
          <w:sz w:val="24"/>
          <w:szCs w:val="24"/>
          <w:highlight w:val="none"/>
          <w:lang w:val="en-US" w:eastAsia="zh-CN"/>
        </w:rPr>
        <w:t xml:space="preserve">四 </w:t>
      </w:r>
      <w:r>
        <w:rPr>
          <w:rFonts w:hint="eastAsia" w:ascii="宋体" w:hAnsi="宋体" w:eastAsia="宋体" w:cs="宋体"/>
          <w:bCs/>
          <w:color w:val="auto"/>
          <w:spacing w:val="0"/>
          <w:position w:val="3"/>
          <w:sz w:val="24"/>
          <w:szCs w:val="24"/>
          <w:highlight w:val="none"/>
        </w:rPr>
        <w:t>投标保证金信用承诺函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_Toc4646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638B26CD">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_Toc29639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格式十五 助力项目承诺书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_Toc29639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6D981DFC">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_Toc12783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格式十</w:t>
      </w:r>
      <w:r>
        <w:rPr>
          <w:rFonts w:hint="eastAsia" w:ascii="宋体" w:hAnsi="宋体" w:eastAsia="宋体" w:cs="宋体"/>
          <w:bCs/>
          <w:color w:val="auto"/>
          <w:spacing w:val="0"/>
          <w:sz w:val="24"/>
          <w:szCs w:val="24"/>
          <w:highlight w:val="none"/>
          <w:lang w:val="en-US" w:eastAsia="zh-CN"/>
        </w:rPr>
        <w:t>六</w:t>
      </w:r>
      <w:r>
        <w:rPr>
          <w:rFonts w:hint="eastAsia" w:ascii="宋体" w:hAnsi="宋体" w:eastAsia="宋体" w:cs="宋体"/>
          <w:bCs/>
          <w:color w:val="auto"/>
          <w:spacing w:val="0"/>
          <w:sz w:val="24"/>
          <w:szCs w:val="24"/>
          <w:highlight w:val="none"/>
        </w:rPr>
        <w:t xml:space="preserve"> 原件一览表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_Toc12783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12CA0C51">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_Toc29118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w:t>
      </w:r>
      <w:r>
        <w:rPr>
          <w:rFonts w:hint="eastAsia" w:ascii="宋体" w:hAnsi="宋体" w:eastAsia="宋体" w:cs="宋体"/>
          <w:bCs/>
          <w:color w:val="auto"/>
          <w:spacing w:val="0"/>
          <w:sz w:val="24"/>
          <w:szCs w:val="24"/>
          <w:highlight w:val="none"/>
          <w:lang w:val="en-US" w:eastAsia="zh-CN"/>
        </w:rPr>
        <w:t>十七</w:t>
      </w:r>
      <w:r>
        <w:rPr>
          <w:rFonts w:hint="eastAsia" w:ascii="宋体" w:hAnsi="宋体" w:eastAsia="宋体" w:cs="宋体"/>
          <w:bCs/>
          <w:color w:val="auto"/>
          <w:spacing w:val="0"/>
          <w:sz w:val="24"/>
          <w:szCs w:val="24"/>
          <w:highlight w:val="none"/>
        </w:rPr>
        <w:t xml:space="preserve"> </w:t>
      </w:r>
      <w:r>
        <w:rPr>
          <w:rFonts w:hint="eastAsia" w:ascii="宋体" w:hAnsi="宋体" w:eastAsia="宋体" w:cs="宋体"/>
          <w:bCs/>
          <w:color w:val="auto"/>
          <w:spacing w:val="0"/>
          <w:sz w:val="24"/>
          <w:szCs w:val="24"/>
          <w:highlight w:val="none"/>
          <w:lang w:val="en-US" w:eastAsia="zh-CN"/>
        </w:rPr>
        <w:t>定标文件</w:t>
      </w:r>
      <w:r>
        <w:rPr>
          <w:rFonts w:hint="eastAsia" w:ascii="宋体" w:hAnsi="宋体" w:eastAsia="宋体" w:cs="宋体"/>
          <w:bCs/>
          <w:color w:val="auto"/>
          <w:spacing w:val="0"/>
          <w:sz w:val="24"/>
          <w:szCs w:val="24"/>
          <w:highlight w:val="none"/>
        </w:rPr>
        <w:t>封面</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_Toc29118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0158C6B8">
      <w:pPr>
        <w:pStyle w:val="8"/>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_Toc25933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格式</w:t>
      </w:r>
      <w:r>
        <w:rPr>
          <w:rFonts w:hint="eastAsia" w:ascii="宋体" w:hAnsi="宋体" w:eastAsia="宋体" w:cs="宋体"/>
          <w:bCs/>
          <w:color w:val="auto"/>
          <w:spacing w:val="0"/>
          <w:sz w:val="24"/>
          <w:szCs w:val="24"/>
          <w:highlight w:val="none"/>
          <w:lang w:val="en-US" w:eastAsia="zh-CN"/>
        </w:rPr>
        <w:t>十八</w:t>
      </w:r>
      <w:r>
        <w:rPr>
          <w:rFonts w:hint="eastAsia" w:ascii="宋体" w:hAnsi="宋体" w:eastAsia="宋体" w:cs="宋体"/>
          <w:bCs/>
          <w:color w:val="auto"/>
          <w:spacing w:val="0"/>
          <w:sz w:val="24"/>
          <w:szCs w:val="24"/>
          <w:highlight w:val="none"/>
        </w:rPr>
        <w:t xml:space="preserve"> </w:t>
      </w:r>
      <w:r>
        <w:rPr>
          <w:rFonts w:hint="eastAsia" w:ascii="宋体" w:hAnsi="宋体" w:eastAsia="宋体" w:cs="宋体"/>
          <w:bCs/>
          <w:color w:val="auto"/>
          <w:spacing w:val="0"/>
          <w:sz w:val="24"/>
          <w:szCs w:val="24"/>
          <w:highlight w:val="none"/>
          <w:lang w:val="en-US" w:eastAsia="zh-CN"/>
        </w:rPr>
        <w:t>定标因素评审资料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_Toc25933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0E60C2F8">
      <w:pPr>
        <w:pStyle w:val="12"/>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\l _Toc18930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Cs/>
          <w:color w:val="auto"/>
          <w:spacing w:val="0"/>
          <w:sz w:val="24"/>
          <w:szCs w:val="24"/>
          <w:highlight w:val="none"/>
        </w:rPr>
        <w:t>第七章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Cs/>
          <w:color w:val="auto"/>
          <w:spacing w:val="0"/>
          <w:sz w:val="24"/>
          <w:szCs w:val="24"/>
          <w:highlight w:val="none"/>
        </w:rPr>
        <w:t>建设工程施工合同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_Toc18930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0"/>
          <w:sz w:val="24"/>
          <w:szCs w:val="24"/>
          <w:highlight w:val="none"/>
        </w:rPr>
        <w:fldChar w:fldCharType="end"/>
      </w:r>
    </w:p>
    <w:p w14:paraId="40E2726A">
      <w:pPr>
        <w:keepNext w:val="0"/>
        <w:keepLines w:val="0"/>
        <w:pageBreakBefore w:val="0"/>
        <w:kinsoku/>
        <w:wordWrap w:val="0"/>
        <w:overflowPunct/>
        <w:topLinePunct/>
        <w:bidi w:val="0"/>
        <w:spacing w:line="360" w:lineRule="auto"/>
        <w:jc w:val="center"/>
        <w:rPr>
          <w:rFonts w:hint="eastAsia" w:ascii="宋体" w:hAnsi="宋体" w:eastAsia="宋体" w:cs="宋体"/>
          <w:color w:val="auto"/>
          <w:spacing w:val="0"/>
          <w:sz w:val="24"/>
          <w:szCs w:val="24"/>
          <w:highlight w:val="none"/>
        </w:rPr>
        <w:sectPr>
          <w:footerReference r:id="rId4" w:type="default"/>
          <w:pgSz w:w="11906" w:h="16839"/>
          <w:pgMar w:top="1247" w:right="1247" w:bottom="1247" w:left="1247" w:header="1202" w:footer="1020" w:gutter="0"/>
          <w:pgBorders>
            <w:top w:val="none" w:sz="0" w:space="0"/>
            <w:left w:val="none" w:sz="0" w:space="0"/>
            <w:bottom w:val="none" w:sz="0" w:space="0"/>
            <w:right w:val="none" w:sz="0" w:space="0"/>
          </w:pgBorders>
          <w:pgNumType w:fmt="decimal" w:start="1"/>
          <w:cols w:space="0" w:num="1"/>
          <w:rtlGutter w:val="0"/>
          <w:docGrid w:linePitch="0" w:charSpace="0"/>
        </w:sectPr>
      </w:pPr>
      <w:r>
        <w:rPr>
          <w:rFonts w:hint="eastAsia" w:ascii="宋体" w:hAnsi="宋体" w:eastAsia="宋体" w:cs="宋体"/>
          <w:color w:val="auto"/>
          <w:spacing w:val="0"/>
          <w:sz w:val="24"/>
          <w:szCs w:val="24"/>
          <w:highlight w:val="none"/>
        </w:rPr>
        <w:fldChar w:fldCharType="end"/>
      </w:r>
    </w:p>
    <w:p w14:paraId="1D7DD6C2">
      <w:pPr>
        <w:pStyle w:val="6"/>
        <w:keepNext w:val="0"/>
        <w:keepLines w:val="0"/>
        <w:pageBreakBefore w:val="0"/>
        <w:kinsoku/>
        <w:wordWrap w:val="0"/>
        <w:overflowPunct/>
        <w:topLinePunct/>
        <w:bidi w:val="0"/>
        <w:spacing w:line="272" w:lineRule="auto"/>
        <w:rPr>
          <w:rFonts w:hint="eastAsia" w:ascii="宋体" w:hAnsi="宋体" w:eastAsia="宋体" w:cs="宋体"/>
          <w:color w:val="auto"/>
          <w:spacing w:val="0"/>
          <w:highlight w:val="none"/>
        </w:rPr>
      </w:pPr>
    </w:p>
    <w:p w14:paraId="37DCC8C3">
      <w:pPr>
        <w:keepNext w:val="0"/>
        <w:keepLines w:val="0"/>
        <w:pageBreakBefore w:val="0"/>
        <w:kinsoku/>
        <w:wordWrap w:val="0"/>
        <w:overflowPunct/>
        <w:topLinePunct/>
        <w:bidi w:val="0"/>
        <w:spacing w:before="78" w:line="219" w:lineRule="auto"/>
        <w:ind w:left="3416"/>
        <w:outlineLvl w:val="0"/>
        <w:rPr>
          <w:rFonts w:hint="eastAsia" w:ascii="宋体" w:hAnsi="宋体" w:eastAsia="宋体" w:cs="宋体"/>
          <w:color w:val="auto"/>
          <w:spacing w:val="0"/>
          <w:sz w:val="28"/>
          <w:szCs w:val="28"/>
          <w:highlight w:val="none"/>
        </w:rPr>
      </w:pPr>
      <w:bookmarkStart w:id="0" w:name="bookmark1"/>
      <w:bookmarkEnd w:id="0"/>
      <w:bookmarkStart w:id="1" w:name="_Toc8358"/>
      <w:r>
        <w:rPr>
          <w:rFonts w:hint="eastAsia" w:ascii="宋体" w:hAnsi="宋体" w:eastAsia="宋体" w:cs="宋体"/>
          <w:b/>
          <w:bCs/>
          <w:color w:val="auto"/>
          <w:spacing w:val="0"/>
          <w:sz w:val="28"/>
          <w:szCs w:val="28"/>
          <w:highlight w:val="none"/>
        </w:rPr>
        <w:t>第一章</w:t>
      </w:r>
      <w:r>
        <w:rPr>
          <w:rFonts w:hint="eastAsia" w:ascii="宋体" w:hAnsi="宋体" w:eastAsia="宋体" w:cs="宋体"/>
          <w:color w:val="auto"/>
          <w:spacing w:val="0"/>
          <w:sz w:val="28"/>
          <w:szCs w:val="28"/>
          <w:highlight w:val="none"/>
        </w:rPr>
        <w:t xml:space="preserve"> </w:t>
      </w:r>
      <w:r>
        <w:rPr>
          <w:rFonts w:hint="eastAsia" w:ascii="宋体" w:hAnsi="宋体" w:eastAsia="宋体" w:cs="宋体"/>
          <w:b/>
          <w:bCs/>
          <w:color w:val="auto"/>
          <w:spacing w:val="0"/>
          <w:sz w:val="28"/>
          <w:szCs w:val="28"/>
          <w:highlight w:val="none"/>
        </w:rPr>
        <w:t>投标人须知</w:t>
      </w:r>
      <w:bookmarkEnd w:id="1"/>
    </w:p>
    <w:p w14:paraId="4E64D652">
      <w:pPr>
        <w:keepNext w:val="0"/>
        <w:keepLines w:val="0"/>
        <w:pageBreakBefore w:val="0"/>
        <w:widowControl/>
        <w:kinsoku/>
        <w:wordWrap w:val="0"/>
        <w:overflowPunct/>
        <w:topLinePunct/>
        <w:autoSpaceDE w:val="0"/>
        <w:autoSpaceDN w:val="0"/>
        <w:bidi w:val="0"/>
        <w:adjustRightInd w:val="0"/>
        <w:snapToGrid w:val="0"/>
        <w:spacing w:line="240" w:lineRule="auto"/>
        <w:ind w:left="17"/>
        <w:textAlignment w:val="baseline"/>
        <w:outlineLvl w:val="1"/>
        <w:rPr>
          <w:rFonts w:hint="eastAsia" w:ascii="宋体" w:hAnsi="宋体" w:eastAsia="宋体" w:cs="宋体"/>
          <w:b/>
          <w:bCs/>
          <w:color w:val="auto"/>
          <w:spacing w:val="0"/>
          <w:sz w:val="18"/>
          <w:szCs w:val="18"/>
          <w:highlight w:val="none"/>
        </w:rPr>
      </w:pPr>
      <w:bookmarkStart w:id="2" w:name="bookmark3"/>
      <w:bookmarkEnd w:id="2"/>
    </w:p>
    <w:p w14:paraId="23F60AC3">
      <w:pPr>
        <w:keepNext w:val="0"/>
        <w:keepLines w:val="0"/>
        <w:pageBreakBefore w:val="0"/>
        <w:kinsoku/>
        <w:wordWrap w:val="0"/>
        <w:overflowPunct/>
        <w:topLinePunct/>
        <w:bidi w:val="0"/>
        <w:spacing w:before="156" w:line="219" w:lineRule="auto"/>
        <w:ind w:left="17"/>
        <w:outlineLvl w:val="1"/>
        <w:rPr>
          <w:rFonts w:hint="eastAsia" w:ascii="宋体" w:hAnsi="宋体" w:eastAsia="宋体" w:cs="宋体"/>
          <w:color w:val="auto"/>
          <w:spacing w:val="0"/>
          <w:sz w:val="24"/>
          <w:szCs w:val="24"/>
          <w:highlight w:val="none"/>
        </w:rPr>
      </w:pPr>
      <w:bookmarkStart w:id="3" w:name="_Toc8112"/>
      <w:r>
        <w:rPr>
          <w:rFonts w:hint="eastAsia" w:ascii="宋体" w:hAnsi="宋体" w:eastAsia="宋体" w:cs="宋体"/>
          <w:b/>
          <w:bCs/>
          <w:color w:val="auto"/>
          <w:spacing w:val="0"/>
          <w:sz w:val="24"/>
          <w:szCs w:val="24"/>
          <w:highlight w:val="none"/>
        </w:rPr>
        <w:t>第一节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投标人须知前附表</w:t>
      </w:r>
      <w:bookmarkEnd w:id="3"/>
    </w:p>
    <w:p w14:paraId="73A7C66A">
      <w:pPr>
        <w:keepNext w:val="0"/>
        <w:keepLines w:val="0"/>
        <w:pageBreakBefore w:val="0"/>
        <w:widowControl/>
        <w:kinsoku/>
        <w:wordWrap w:val="0"/>
        <w:overflowPunct/>
        <w:topLinePunct/>
        <w:autoSpaceDE w:val="0"/>
        <w:autoSpaceDN w:val="0"/>
        <w:bidi w:val="0"/>
        <w:adjustRightInd w:val="0"/>
        <w:snapToGrid w:val="0"/>
        <w:spacing w:line="240" w:lineRule="auto"/>
        <w:ind w:left="17"/>
        <w:textAlignment w:val="baseline"/>
        <w:outlineLvl w:val="1"/>
        <w:rPr>
          <w:rFonts w:hint="eastAsia" w:ascii="宋体" w:hAnsi="宋体" w:eastAsia="宋体" w:cs="宋体"/>
          <w:b/>
          <w:bCs/>
          <w:color w:val="auto"/>
          <w:spacing w:val="0"/>
          <w:sz w:val="13"/>
          <w:szCs w:val="13"/>
          <w:highlight w:val="none"/>
        </w:rPr>
      </w:pPr>
    </w:p>
    <w:tbl>
      <w:tblPr>
        <w:tblStyle w:val="16"/>
        <w:tblW w:w="100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82"/>
        <w:gridCol w:w="1942"/>
        <w:gridCol w:w="7574"/>
      </w:tblGrid>
      <w:tr w14:paraId="5972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1FBCB834">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leftChars="0" w:right="0" w:firstLine="0" w:firstLineChars="0"/>
              <w:jc w:val="center"/>
              <w:rPr>
                <w:rFonts w:hint="eastAsia" w:ascii="宋体" w:hAnsi="宋体" w:eastAsia="宋体" w:cs="宋体"/>
                <w:b/>
                <w:bCs/>
                <w:color w:val="auto"/>
                <w:spacing w:val="0"/>
                <w:sz w:val="21"/>
                <w:szCs w:val="21"/>
                <w:highlight w:val="none"/>
                <w:lang w:val="en-US" w:eastAsia="zh-CN"/>
              </w:rPr>
            </w:pPr>
            <w:r>
              <w:rPr>
                <w:rFonts w:hint="eastAsia" w:ascii="宋体" w:hAnsi="宋体" w:eastAsia="宋体" w:cs="宋体"/>
                <w:b/>
                <w:bCs/>
                <w:color w:val="auto"/>
                <w:spacing w:val="0"/>
                <w:sz w:val="21"/>
                <w:szCs w:val="21"/>
                <w:highlight w:val="none"/>
                <w:lang w:val="en-US" w:eastAsia="zh-CN"/>
              </w:rPr>
              <w:t>序号</w:t>
            </w:r>
          </w:p>
        </w:tc>
        <w:tc>
          <w:tcPr>
            <w:tcW w:w="1942" w:type="dxa"/>
            <w:vAlign w:val="center"/>
          </w:tcPr>
          <w:p w14:paraId="4A815EE1">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snapToGrid w:val="0"/>
                <w:color w:val="auto"/>
                <w:spacing w:val="0"/>
                <w:kern w:val="0"/>
                <w:sz w:val="21"/>
                <w:szCs w:val="21"/>
                <w:highlight w:val="none"/>
                <w:lang w:val="en-US" w:eastAsia="zh-CN"/>
              </w:rPr>
            </w:pPr>
            <w:r>
              <w:rPr>
                <w:rFonts w:hint="eastAsia" w:ascii="宋体" w:hAnsi="宋体" w:eastAsia="宋体" w:cs="宋体"/>
                <w:b/>
                <w:bCs/>
                <w:snapToGrid w:val="0"/>
                <w:color w:val="auto"/>
                <w:spacing w:val="0"/>
                <w:kern w:val="0"/>
                <w:sz w:val="21"/>
                <w:szCs w:val="21"/>
                <w:highlight w:val="none"/>
                <w:lang w:val="en-US" w:eastAsia="zh-CN"/>
              </w:rPr>
              <w:t>内容</w:t>
            </w:r>
          </w:p>
        </w:tc>
        <w:tc>
          <w:tcPr>
            <w:tcW w:w="7574" w:type="dxa"/>
            <w:vAlign w:val="center"/>
          </w:tcPr>
          <w:p w14:paraId="356A2C60">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center"/>
              <w:textAlignment w:val="auto"/>
              <w:rPr>
                <w:rFonts w:hint="eastAsia" w:ascii="宋体" w:hAnsi="宋体" w:eastAsia="宋体" w:cs="宋体"/>
                <w:b/>
                <w:bCs/>
                <w:snapToGrid w:val="0"/>
                <w:color w:val="auto"/>
                <w:spacing w:val="0"/>
                <w:kern w:val="0"/>
                <w:sz w:val="21"/>
                <w:szCs w:val="21"/>
                <w:highlight w:val="none"/>
                <w:lang w:val="en-US" w:eastAsia="zh-CN"/>
              </w:rPr>
            </w:pPr>
            <w:r>
              <w:rPr>
                <w:rFonts w:hint="eastAsia" w:ascii="宋体" w:hAnsi="宋体" w:eastAsia="宋体" w:cs="宋体"/>
                <w:b/>
                <w:bCs/>
                <w:snapToGrid w:val="0"/>
                <w:color w:val="auto"/>
                <w:spacing w:val="0"/>
                <w:kern w:val="0"/>
                <w:sz w:val="21"/>
                <w:szCs w:val="21"/>
                <w:highlight w:val="none"/>
                <w:lang w:val="en-US" w:eastAsia="zh-CN"/>
              </w:rPr>
              <w:t>说明与要求</w:t>
            </w:r>
          </w:p>
        </w:tc>
      </w:tr>
      <w:tr w14:paraId="2EF9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786A8FA9">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bookmarkStart w:id="4" w:name="OLE_LINK2" w:colFirst="2" w:colLast="2"/>
            <w:r>
              <w:rPr>
                <w:rFonts w:hint="eastAsia" w:ascii="宋体" w:hAnsi="宋体" w:eastAsia="宋体" w:cs="宋体"/>
                <w:color w:val="auto"/>
                <w:spacing w:val="0"/>
                <w:sz w:val="21"/>
                <w:szCs w:val="21"/>
                <w:highlight w:val="none"/>
              </w:rPr>
              <w:t>1</w:t>
            </w:r>
          </w:p>
        </w:tc>
        <w:tc>
          <w:tcPr>
            <w:tcW w:w="1942" w:type="dxa"/>
            <w:vAlign w:val="center"/>
          </w:tcPr>
          <w:p w14:paraId="2755B418">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项目名称</w:t>
            </w:r>
          </w:p>
        </w:tc>
        <w:tc>
          <w:tcPr>
            <w:tcW w:w="7574" w:type="dxa"/>
            <w:vAlign w:val="center"/>
          </w:tcPr>
          <w:p w14:paraId="1F5414CE">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color w:val="auto"/>
                <w:highlight w:val="none"/>
                <w:lang w:eastAsia="zh-CN"/>
              </w:rPr>
              <w:t>北江智算中心（机电）项目配电工程（电气）施工</w:t>
            </w:r>
          </w:p>
        </w:tc>
      </w:tr>
      <w:tr w14:paraId="3B08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0CC0C351">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p>
        </w:tc>
        <w:tc>
          <w:tcPr>
            <w:tcW w:w="1942" w:type="dxa"/>
            <w:vAlign w:val="center"/>
          </w:tcPr>
          <w:p w14:paraId="29824DFD">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项目业主</w:t>
            </w:r>
          </w:p>
        </w:tc>
        <w:tc>
          <w:tcPr>
            <w:tcW w:w="7574" w:type="dxa"/>
            <w:vAlign w:val="center"/>
          </w:tcPr>
          <w:p w14:paraId="274B3CB5">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广东韶关数据产业投资发展有限公司</w:t>
            </w:r>
          </w:p>
        </w:tc>
      </w:tr>
      <w:tr w14:paraId="52CD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atLeast"/>
        </w:trPr>
        <w:tc>
          <w:tcPr>
            <w:tcW w:w="582" w:type="dxa"/>
            <w:vAlign w:val="center"/>
          </w:tcPr>
          <w:p w14:paraId="04B6BF5F">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p>
        </w:tc>
        <w:tc>
          <w:tcPr>
            <w:tcW w:w="1942" w:type="dxa"/>
            <w:vAlign w:val="center"/>
          </w:tcPr>
          <w:p w14:paraId="21FBFFDF">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项目批准部门及项目批准文号</w:t>
            </w:r>
          </w:p>
        </w:tc>
        <w:tc>
          <w:tcPr>
            <w:tcW w:w="7574" w:type="dxa"/>
            <w:vAlign w:val="center"/>
          </w:tcPr>
          <w:p w14:paraId="293912C0">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韶关市武江区发展和改革局</w:t>
            </w:r>
          </w:p>
        </w:tc>
      </w:tr>
      <w:tr w14:paraId="76EC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1644CE4B">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w:t>
            </w:r>
          </w:p>
        </w:tc>
        <w:tc>
          <w:tcPr>
            <w:tcW w:w="1942" w:type="dxa"/>
            <w:vAlign w:val="center"/>
          </w:tcPr>
          <w:p w14:paraId="62CA0006">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建设地点</w:t>
            </w:r>
          </w:p>
        </w:tc>
        <w:tc>
          <w:tcPr>
            <w:tcW w:w="7574" w:type="dxa"/>
            <w:tcMar>
              <w:top w:w="0" w:type="dxa"/>
              <w:left w:w="0" w:type="dxa"/>
              <w:bottom w:w="0" w:type="dxa"/>
              <w:right w:w="0" w:type="dxa"/>
            </w:tcMar>
            <w:vAlign w:val="center"/>
          </w:tcPr>
          <w:p w14:paraId="616A0383">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芙蓉变电站至粤港澳大湾区数据应用产业园I栋</w:t>
            </w:r>
          </w:p>
        </w:tc>
      </w:tr>
      <w:tr w14:paraId="42C56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2748EB05">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p>
        </w:tc>
        <w:tc>
          <w:tcPr>
            <w:tcW w:w="1942" w:type="dxa"/>
            <w:vAlign w:val="center"/>
          </w:tcPr>
          <w:p w14:paraId="5AC6F30C">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项目代码</w:t>
            </w:r>
          </w:p>
        </w:tc>
        <w:tc>
          <w:tcPr>
            <w:tcW w:w="7574" w:type="dxa"/>
            <w:vAlign w:val="center"/>
          </w:tcPr>
          <w:p w14:paraId="5B8FD5D5">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2401-440203-04-05-656817</w:t>
            </w:r>
          </w:p>
        </w:tc>
      </w:tr>
      <w:tr w14:paraId="731B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585699CA">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w:t>
            </w:r>
          </w:p>
        </w:tc>
        <w:tc>
          <w:tcPr>
            <w:tcW w:w="1942" w:type="dxa"/>
            <w:vAlign w:val="center"/>
          </w:tcPr>
          <w:p w14:paraId="05C36938">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资金来源及落实情况</w:t>
            </w:r>
          </w:p>
        </w:tc>
        <w:tc>
          <w:tcPr>
            <w:tcW w:w="7574" w:type="dxa"/>
            <w:vAlign w:val="center"/>
          </w:tcPr>
          <w:p w14:paraId="0A47CEEF">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项目贷及单位自筹、已落实</w:t>
            </w:r>
          </w:p>
        </w:tc>
      </w:tr>
      <w:tr w14:paraId="6238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28F2BC05">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w:t>
            </w:r>
          </w:p>
        </w:tc>
        <w:tc>
          <w:tcPr>
            <w:tcW w:w="1942" w:type="dxa"/>
            <w:vAlign w:val="center"/>
          </w:tcPr>
          <w:p w14:paraId="65CF303B">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招标人</w:t>
            </w:r>
          </w:p>
        </w:tc>
        <w:tc>
          <w:tcPr>
            <w:tcW w:w="7574" w:type="dxa"/>
            <w:vAlign w:val="center"/>
          </w:tcPr>
          <w:p w14:paraId="75F15CF3">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广东韶关数据产业投资发展有限公司</w:t>
            </w:r>
          </w:p>
        </w:tc>
      </w:tr>
      <w:tr w14:paraId="4E65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4CFF56BF">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w:t>
            </w:r>
          </w:p>
        </w:tc>
        <w:tc>
          <w:tcPr>
            <w:tcW w:w="1942" w:type="dxa"/>
            <w:vAlign w:val="center"/>
          </w:tcPr>
          <w:p w14:paraId="702DFDE1">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招标代理机构</w:t>
            </w:r>
          </w:p>
        </w:tc>
        <w:tc>
          <w:tcPr>
            <w:tcW w:w="7574" w:type="dxa"/>
            <w:vAlign w:val="center"/>
          </w:tcPr>
          <w:p w14:paraId="34F33770">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韶关市君信招标代理有限公司</w:t>
            </w:r>
          </w:p>
        </w:tc>
      </w:tr>
      <w:tr w14:paraId="6D13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331BC70A">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9</w:t>
            </w:r>
          </w:p>
        </w:tc>
        <w:tc>
          <w:tcPr>
            <w:tcW w:w="1942" w:type="dxa"/>
            <w:vAlign w:val="center"/>
          </w:tcPr>
          <w:p w14:paraId="430ADB14">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设计单位</w:t>
            </w:r>
          </w:p>
        </w:tc>
        <w:tc>
          <w:tcPr>
            <w:tcW w:w="7574" w:type="dxa"/>
            <w:vAlign w:val="center"/>
          </w:tcPr>
          <w:p w14:paraId="3040F755">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瑞博电力有限公司</w:t>
            </w:r>
          </w:p>
        </w:tc>
      </w:tr>
      <w:bookmarkEnd w:id="4"/>
      <w:tr w14:paraId="0CA8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10CB7AB6">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10</w:t>
            </w:r>
          </w:p>
        </w:tc>
        <w:tc>
          <w:tcPr>
            <w:tcW w:w="1942" w:type="dxa"/>
            <w:vAlign w:val="center"/>
          </w:tcPr>
          <w:p w14:paraId="5CFADBEF">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造价咨询单位</w:t>
            </w:r>
          </w:p>
        </w:tc>
        <w:tc>
          <w:tcPr>
            <w:tcW w:w="7574" w:type="dxa"/>
            <w:vAlign w:val="center"/>
          </w:tcPr>
          <w:p w14:paraId="758DC517">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eastAsia="zh-CN"/>
              </w:rPr>
              <w:t>□非全过程造价咨询</w:t>
            </w:r>
            <w:r>
              <w:rPr>
                <w:rFonts w:hint="eastAsia" w:ascii="宋体" w:hAnsi="宋体" w:eastAsia="宋体" w:cs="宋体"/>
                <w:snapToGrid w:val="0"/>
                <w:color w:val="auto"/>
                <w:spacing w:val="0"/>
                <w:kern w:val="0"/>
                <w:sz w:val="21"/>
                <w:szCs w:val="21"/>
                <w:highlight w:val="none"/>
                <w:lang w:val="en-US" w:eastAsia="zh-CN"/>
              </w:rPr>
              <w:t xml:space="preserve">  </w:t>
            </w:r>
            <w:r>
              <w:rPr>
                <w:rFonts w:hint="eastAsia" w:ascii="宋体" w:hAnsi="宋体" w:eastAsia="宋体" w:cs="宋体"/>
                <w:snapToGrid w:val="0"/>
                <w:color w:val="auto"/>
                <w:spacing w:val="0"/>
                <w:kern w:val="0"/>
                <w:sz w:val="21"/>
                <w:szCs w:val="21"/>
                <w:highlight w:val="none"/>
                <w:lang w:eastAsia="zh-CN"/>
              </w:rPr>
              <w:t>☑全过程造价咨询</w:t>
            </w:r>
            <w:r>
              <w:rPr>
                <w:rFonts w:hint="eastAsia" w:ascii="宋体" w:hAnsi="宋体" w:eastAsia="宋体" w:cs="宋体"/>
                <w:snapToGrid w:val="0"/>
                <w:color w:val="auto"/>
                <w:spacing w:val="0"/>
                <w:kern w:val="0"/>
                <w:sz w:val="21"/>
                <w:szCs w:val="21"/>
                <w:highlight w:val="none"/>
                <w:lang w:val="en-US" w:eastAsia="zh-CN"/>
              </w:rPr>
              <w:t xml:space="preserve">  </w:t>
            </w:r>
          </w:p>
        </w:tc>
      </w:tr>
      <w:tr w14:paraId="1B5F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31CBF31E">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11</w:t>
            </w:r>
          </w:p>
        </w:tc>
        <w:tc>
          <w:tcPr>
            <w:tcW w:w="1942" w:type="dxa"/>
            <w:vAlign w:val="center"/>
          </w:tcPr>
          <w:p w14:paraId="0CA869A5">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监理单位</w:t>
            </w:r>
          </w:p>
        </w:tc>
        <w:tc>
          <w:tcPr>
            <w:tcW w:w="7574" w:type="dxa"/>
            <w:vAlign w:val="center"/>
          </w:tcPr>
          <w:p w14:paraId="3191FAD1">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☑已确定监理单位</w:t>
            </w:r>
            <w:r>
              <w:rPr>
                <w:rFonts w:hint="eastAsia" w:ascii="宋体" w:hAnsi="宋体" w:eastAsia="宋体" w:cs="宋体"/>
                <w:snapToGrid w:val="0"/>
                <w:color w:val="auto"/>
                <w:spacing w:val="0"/>
                <w:kern w:val="0"/>
                <w:sz w:val="21"/>
                <w:szCs w:val="21"/>
                <w:highlight w:val="none"/>
                <w:lang w:val="en-US" w:eastAsia="zh-CN"/>
              </w:rPr>
              <w:t xml:space="preserve">    </w:t>
            </w:r>
            <w:r>
              <w:rPr>
                <w:rFonts w:hint="eastAsia" w:ascii="宋体" w:hAnsi="宋体" w:eastAsia="宋体" w:cs="宋体"/>
                <w:snapToGrid w:val="0"/>
                <w:color w:val="auto"/>
                <w:spacing w:val="0"/>
                <w:kern w:val="0"/>
                <w:sz w:val="21"/>
                <w:szCs w:val="21"/>
                <w:highlight w:val="none"/>
                <w:lang w:eastAsia="zh-CN"/>
              </w:rPr>
              <w:t>□未确定监理单位</w:t>
            </w:r>
          </w:p>
        </w:tc>
      </w:tr>
      <w:tr w14:paraId="4517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00A11BAB">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1</w:t>
            </w:r>
            <w:r>
              <w:rPr>
                <w:rFonts w:hint="eastAsia" w:ascii="宋体" w:hAnsi="宋体" w:eastAsia="宋体" w:cs="宋体"/>
                <w:color w:val="auto"/>
                <w:spacing w:val="0"/>
                <w:sz w:val="21"/>
                <w:szCs w:val="21"/>
                <w:highlight w:val="none"/>
              </w:rPr>
              <w:t>2</w:t>
            </w:r>
          </w:p>
        </w:tc>
        <w:tc>
          <w:tcPr>
            <w:tcW w:w="1942" w:type="dxa"/>
            <w:vAlign w:val="center"/>
          </w:tcPr>
          <w:p w14:paraId="682681BF">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建设内容和规模</w:t>
            </w:r>
          </w:p>
        </w:tc>
        <w:tc>
          <w:tcPr>
            <w:tcW w:w="7574" w:type="dxa"/>
            <w:vAlign w:val="center"/>
          </w:tcPr>
          <w:p w14:paraId="18CC47D7">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eastAsia="zh-CN"/>
              </w:rPr>
              <w:t>☑建设规模：</w:t>
            </w:r>
            <w:r>
              <w:rPr>
                <w:rFonts w:hint="eastAsia" w:ascii="宋体" w:hAnsi="宋体" w:eastAsia="宋体" w:cs="宋体"/>
                <w:snapToGrid w:val="0"/>
                <w:color w:val="auto"/>
                <w:spacing w:val="0"/>
                <w:kern w:val="0"/>
                <w:sz w:val="21"/>
                <w:szCs w:val="21"/>
                <w:highlight w:val="none"/>
                <w:lang w:val="en-US" w:eastAsia="zh-CN"/>
              </w:rPr>
              <w:t>/</w:t>
            </w:r>
          </w:p>
          <w:p w14:paraId="71DBF6D5">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eastAsia="zh-CN"/>
              </w:rPr>
              <w:t>☑建设内容：</w:t>
            </w:r>
            <w:r>
              <w:rPr>
                <w:rFonts w:hint="eastAsia" w:ascii="宋体" w:hAnsi="宋体" w:eastAsia="宋体" w:cs="宋体"/>
                <w:snapToGrid w:val="0"/>
                <w:color w:val="auto"/>
                <w:spacing w:val="0"/>
                <w:kern w:val="0"/>
                <w:sz w:val="21"/>
                <w:szCs w:val="21"/>
                <w:highlight w:val="none"/>
                <w:lang w:val="en-US" w:eastAsia="zh-CN"/>
              </w:rPr>
              <w:t>1、新敷设电缆FYZA-YJV22-8.7/15kV-3</w:t>
            </w:r>
            <w:r>
              <w:rPr>
                <w:rFonts w:hint="default" w:ascii="Arial" w:hAnsi="Arial" w:eastAsia="宋体" w:cs="Arial"/>
                <w:snapToGrid w:val="0"/>
                <w:color w:val="auto"/>
                <w:spacing w:val="0"/>
                <w:kern w:val="0"/>
                <w:sz w:val="21"/>
                <w:szCs w:val="21"/>
                <w:highlight w:val="none"/>
                <w:lang w:val="en-US" w:eastAsia="zh-CN"/>
              </w:rPr>
              <w:t>×</w:t>
            </w:r>
            <w:r>
              <w:rPr>
                <w:rFonts w:hint="eastAsia" w:ascii="宋体" w:hAnsi="宋体" w:eastAsia="宋体" w:cs="宋体"/>
                <w:snapToGrid w:val="0"/>
                <w:color w:val="auto"/>
                <w:spacing w:val="0"/>
                <w:kern w:val="0"/>
                <w:sz w:val="21"/>
                <w:szCs w:val="21"/>
                <w:highlight w:val="none"/>
                <w:lang w:val="en-US" w:eastAsia="zh-CN"/>
              </w:rPr>
              <w:t>400-4.188km。2、新建3</w:t>
            </w:r>
            <w:r>
              <w:rPr>
                <w:rFonts w:hint="default" w:ascii="Arial" w:hAnsi="Arial" w:eastAsia="宋体" w:cs="Arial"/>
                <w:snapToGrid w:val="0"/>
                <w:color w:val="auto"/>
                <w:spacing w:val="0"/>
                <w:kern w:val="0"/>
                <w:sz w:val="21"/>
                <w:szCs w:val="21"/>
                <w:highlight w:val="none"/>
                <w:lang w:val="en-US" w:eastAsia="zh-CN"/>
              </w:rPr>
              <w:t>×</w:t>
            </w:r>
            <w:r>
              <w:rPr>
                <w:rFonts w:hint="eastAsia" w:ascii="宋体" w:hAnsi="宋体" w:eastAsia="宋体" w:cs="宋体"/>
                <w:snapToGrid w:val="0"/>
                <w:color w:val="auto"/>
                <w:spacing w:val="0"/>
                <w:kern w:val="0"/>
                <w:sz w:val="21"/>
                <w:szCs w:val="21"/>
                <w:highlight w:val="none"/>
                <w:lang w:val="en-US" w:eastAsia="zh-CN"/>
              </w:rPr>
              <w:t>400电缆中间头熔接9套(带防爆盒)，新建3</w:t>
            </w:r>
            <w:r>
              <w:rPr>
                <w:rFonts w:hint="default" w:ascii="Arial" w:hAnsi="Arial" w:eastAsia="宋体" w:cs="Arial"/>
                <w:snapToGrid w:val="0"/>
                <w:color w:val="auto"/>
                <w:spacing w:val="0"/>
                <w:kern w:val="0"/>
                <w:sz w:val="21"/>
                <w:szCs w:val="21"/>
                <w:highlight w:val="none"/>
                <w:lang w:val="en-US" w:eastAsia="zh-CN"/>
              </w:rPr>
              <w:t>×</w:t>
            </w:r>
            <w:r>
              <w:rPr>
                <w:rFonts w:hint="eastAsia" w:ascii="宋体" w:hAnsi="宋体" w:eastAsia="宋体" w:cs="宋体"/>
                <w:snapToGrid w:val="0"/>
                <w:color w:val="auto"/>
                <w:spacing w:val="0"/>
                <w:kern w:val="0"/>
                <w:sz w:val="21"/>
                <w:szCs w:val="21"/>
                <w:highlight w:val="none"/>
                <w:lang w:val="en-US" w:eastAsia="zh-CN"/>
              </w:rPr>
              <w:t>400户内电缆终端头2套。3、通道2.908km电缆敷设路径有其他运行的电缆;揭复盖板60m，电缆通道通管2.85km，电缆井清淤3m</w:t>
            </w:r>
            <w:r>
              <w:rPr>
                <w:rFonts w:hint="eastAsia" w:ascii="宋体" w:hAnsi="宋体" w:eastAsia="宋体" w:cs="宋体"/>
                <w:snapToGrid w:val="0"/>
                <w:color w:val="auto"/>
                <w:spacing w:val="0"/>
                <w:kern w:val="0"/>
                <w:sz w:val="21"/>
                <w:szCs w:val="21"/>
                <w:highlight w:val="none"/>
                <w:vertAlign w:val="superscript"/>
                <w:lang w:val="en-US" w:eastAsia="zh-CN"/>
              </w:rPr>
              <w:t>3</w:t>
            </w:r>
            <w:r>
              <w:rPr>
                <w:rFonts w:hint="eastAsia" w:ascii="宋体" w:hAnsi="宋体" w:eastAsia="宋体" w:cs="宋体"/>
                <w:snapToGrid w:val="0"/>
                <w:color w:val="auto"/>
                <w:spacing w:val="0"/>
                <w:kern w:val="0"/>
                <w:sz w:val="21"/>
                <w:szCs w:val="21"/>
                <w:highlight w:val="none"/>
                <w:lang w:val="en-US" w:eastAsia="zh-CN"/>
              </w:rPr>
              <w:t>。</w:t>
            </w:r>
          </w:p>
          <w:p w14:paraId="193DAA3E">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val="en-US" w:eastAsia="zh-CN"/>
              </w:rPr>
              <w:t>地形:平地100%;地质:I、II类土30%、岩石70%。汽车运输:15km，人力运输:0.05km。</w:t>
            </w:r>
            <w:r>
              <w:rPr>
                <w:rFonts w:hint="eastAsia" w:ascii="宋体" w:hAnsi="宋体" w:eastAsia="宋体" w:cs="宋体"/>
                <w:snapToGrid w:val="0"/>
                <w:color w:val="auto"/>
                <w:spacing w:val="0"/>
                <w:kern w:val="0"/>
                <w:sz w:val="21"/>
                <w:szCs w:val="21"/>
                <w:highlight w:val="none"/>
                <w:lang w:val="en-US" w:eastAsia="zh-CN"/>
              </w:rPr>
              <w:br w:type="textWrapping"/>
            </w:r>
            <w:r>
              <w:rPr>
                <w:rFonts w:hint="eastAsia" w:ascii="宋体" w:hAnsi="宋体" w:eastAsia="宋体" w:cs="宋体"/>
                <w:snapToGrid w:val="0"/>
                <w:color w:val="auto"/>
                <w:spacing w:val="0"/>
                <w:kern w:val="0"/>
                <w:sz w:val="21"/>
                <w:szCs w:val="21"/>
                <w:highlight w:val="none"/>
                <w:lang w:val="en-US" w:eastAsia="zh-CN"/>
              </w:rPr>
              <w:t>最终范围以施工图纸及工程量清单为准。</w:t>
            </w:r>
          </w:p>
        </w:tc>
      </w:tr>
      <w:tr w14:paraId="7028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0D1DD8AB">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13</w:t>
            </w:r>
          </w:p>
        </w:tc>
        <w:tc>
          <w:tcPr>
            <w:tcW w:w="1942" w:type="dxa"/>
            <w:vAlign w:val="center"/>
          </w:tcPr>
          <w:p w14:paraId="2032CB48">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项目总投资</w:t>
            </w:r>
          </w:p>
        </w:tc>
        <w:tc>
          <w:tcPr>
            <w:tcW w:w="7574" w:type="dxa"/>
            <w:vAlign w:val="center"/>
          </w:tcPr>
          <w:p w14:paraId="573BDCF2">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项目总投资25000万元。</w:t>
            </w:r>
          </w:p>
        </w:tc>
      </w:tr>
      <w:tr w14:paraId="4174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7FDE58A1">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14</w:t>
            </w:r>
          </w:p>
        </w:tc>
        <w:tc>
          <w:tcPr>
            <w:tcW w:w="1942" w:type="dxa"/>
            <w:vAlign w:val="center"/>
          </w:tcPr>
          <w:p w14:paraId="325CE6FD">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招标范围</w:t>
            </w:r>
          </w:p>
        </w:tc>
        <w:tc>
          <w:tcPr>
            <w:tcW w:w="7574" w:type="dxa"/>
            <w:vAlign w:val="center"/>
          </w:tcPr>
          <w:p w14:paraId="24D7E84C">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施工图纸和工程量清单范围内等所有工程。</w:t>
            </w:r>
          </w:p>
        </w:tc>
      </w:tr>
      <w:tr w14:paraId="2E91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50B39273">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15</w:t>
            </w:r>
          </w:p>
        </w:tc>
        <w:tc>
          <w:tcPr>
            <w:tcW w:w="1942" w:type="dxa"/>
            <w:vAlign w:val="center"/>
          </w:tcPr>
          <w:p w14:paraId="1A28B99F">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标段划分</w:t>
            </w:r>
          </w:p>
        </w:tc>
        <w:tc>
          <w:tcPr>
            <w:tcW w:w="7574" w:type="dxa"/>
            <w:vAlign w:val="center"/>
          </w:tcPr>
          <w:p w14:paraId="5749CB78">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 xml:space="preserve">本招标项目不划分标段。 </w:t>
            </w:r>
          </w:p>
        </w:tc>
      </w:tr>
      <w:tr w14:paraId="7A89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trPr>
        <w:tc>
          <w:tcPr>
            <w:tcW w:w="582" w:type="dxa"/>
            <w:vAlign w:val="center"/>
          </w:tcPr>
          <w:p w14:paraId="5C90F39D">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16</w:t>
            </w:r>
          </w:p>
        </w:tc>
        <w:tc>
          <w:tcPr>
            <w:tcW w:w="1942" w:type="dxa"/>
            <w:vAlign w:val="center"/>
          </w:tcPr>
          <w:p w14:paraId="4E599599">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工期</w:t>
            </w:r>
          </w:p>
        </w:tc>
        <w:tc>
          <w:tcPr>
            <w:tcW w:w="7574" w:type="dxa"/>
            <w:vAlign w:val="center"/>
          </w:tcPr>
          <w:p w14:paraId="43319FE6">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本招标项目招标工期为</w:t>
            </w:r>
            <w:r>
              <w:rPr>
                <w:rFonts w:hint="eastAsia" w:ascii="宋体" w:hAnsi="宋体" w:eastAsia="宋体" w:cs="宋体"/>
                <w:snapToGrid w:val="0"/>
                <w:color w:val="auto"/>
                <w:spacing w:val="0"/>
                <w:kern w:val="0"/>
                <w:sz w:val="21"/>
                <w:szCs w:val="21"/>
                <w:highlight w:val="none"/>
                <w:lang w:val="en-US" w:eastAsia="zh-CN"/>
              </w:rPr>
              <w:t>45个日历天</w:t>
            </w:r>
            <w:r>
              <w:rPr>
                <w:rFonts w:hint="eastAsia" w:ascii="宋体" w:hAnsi="宋体" w:eastAsia="宋体" w:cs="宋体"/>
                <w:snapToGrid w:val="0"/>
                <w:color w:val="auto"/>
                <w:spacing w:val="0"/>
                <w:kern w:val="0"/>
                <w:sz w:val="21"/>
                <w:szCs w:val="21"/>
                <w:highlight w:val="none"/>
                <w:lang w:eastAsia="zh-CN"/>
              </w:rPr>
              <w:t>。具体如下：</w:t>
            </w:r>
          </w:p>
          <w:p w14:paraId="2A7299A2">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☑总工期：</w:t>
            </w:r>
            <w:r>
              <w:rPr>
                <w:rFonts w:hint="eastAsia" w:ascii="宋体" w:hAnsi="宋体" w:eastAsia="宋体" w:cs="宋体"/>
                <w:snapToGrid w:val="0"/>
                <w:color w:val="auto"/>
                <w:spacing w:val="0"/>
                <w:kern w:val="0"/>
                <w:sz w:val="21"/>
                <w:szCs w:val="21"/>
                <w:highlight w:val="none"/>
                <w:u w:val="single"/>
                <w:lang w:val="en-US" w:eastAsia="zh-CN"/>
              </w:rPr>
              <w:t>45</w:t>
            </w:r>
            <w:r>
              <w:rPr>
                <w:rFonts w:hint="eastAsia" w:ascii="宋体" w:hAnsi="宋体" w:eastAsia="宋体" w:cs="宋体"/>
                <w:snapToGrid w:val="0"/>
                <w:color w:val="auto"/>
                <w:spacing w:val="0"/>
                <w:kern w:val="0"/>
                <w:sz w:val="21"/>
                <w:szCs w:val="21"/>
                <w:highlight w:val="none"/>
                <w:lang w:eastAsia="zh-CN"/>
              </w:rPr>
              <w:t>天（日历天）。</w:t>
            </w:r>
          </w:p>
          <w:p w14:paraId="3CBABBD2">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□计划开工日期：</w:t>
            </w:r>
            <w:r>
              <w:rPr>
                <w:rFonts w:hint="eastAsia" w:ascii="宋体" w:hAnsi="宋体" w:eastAsia="宋体" w:cs="宋体"/>
                <w:snapToGrid w:val="0"/>
                <w:color w:val="auto"/>
                <w:spacing w:val="0"/>
                <w:kern w:val="0"/>
                <w:sz w:val="21"/>
                <w:szCs w:val="21"/>
                <w:highlight w:val="none"/>
                <w:lang w:val="en-US" w:eastAsia="zh-CN"/>
              </w:rPr>
              <w:t xml:space="preserve">    </w:t>
            </w:r>
            <w:r>
              <w:rPr>
                <w:rFonts w:hint="eastAsia" w:ascii="宋体" w:hAnsi="宋体" w:eastAsia="宋体" w:cs="宋体"/>
                <w:snapToGrid w:val="0"/>
                <w:color w:val="auto"/>
                <w:spacing w:val="0"/>
                <w:kern w:val="0"/>
                <w:sz w:val="21"/>
                <w:szCs w:val="21"/>
                <w:highlight w:val="none"/>
                <w:lang w:eastAsia="zh-CN"/>
              </w:rPr>
              <w:t>年</w:t>
            </w:r>
            <w:r>
              <w:rPr>
                <w:rFonts w:hint="eastAsia" w:ascii="宋体" w:hAnsi="宋体" w:eastAsia="宋体" w:cs="宋体"/>
                <w:snapToGrid w:val="0"/>
                <w:color w:val="auto"/>
                <w:spacing w:val="0"/>
                <w:kern w:val="0"/>
                <w:sz w:val="21"/>
                <w:szCs w:val="21"/>
                <w:highlight w:val="none"/>
                <w:lang w:val="en-US" w:eastAsia="zh-CN"/>
              </w:rPr>
              <w:t xml:space="preserve">   </w:t>
            </w:r>
            <w:r>
              <w:rPr>
                <w:rFonts w:hint="eastAsia" w:ascii="宋体" w:hAnsi="宋体" w:eastAsia="宋体" w:cs="宋体"/>
                <w:snapToGrid w:val="0"/>
                <w:color w:val="auto"/>
                <w:spacing w:val="0"/>
                <w:kern w:val="0"/>
                <w:sz w:val="21"/>
                <w:szCs w:val="21"/>
                <w:highlight w:val="none"/>
                <w:lang w:eastAsia="zh-CN"/>
              </w:rPr>
              <w:t>月</w:t>
            </w:r>
            <w:r>
              <w:rPr>
                <w:rFonts w:hint="eastAsia" w:ascii="宋体" w:hAnsi="宋体" w:eastAsia="宋体" w:cs="宋体"/>
                <w:snapToGrid w:val="0"/>
                <w:color w:val="auto"/>
                <w:spacing w:val="0"/>
                <w:kern w:val="0"/>
                <w:sz w:val="21"/>
                <w:szCs w:val="21"/>
                <w:highlight w:val="none"/>
                <w:lang w:val="en-US" w:eastAsia="zh-CN"/>
              </w:rPr>
              <w:t xml:space="preserve">   </w:t>
            </w:r>
            <w:r>
              <w:rPr>
                <w:rFonts w:hint="eastAsia" w:ascii="宋体" w:hAnsi="宋体" w:eastAsia="宋体" w:cs="宋体"/>
                <w:snapToGrid w:val="0"/>
                <w:color w:val="auto"/>
                <w:spacing w:val="0"/>
                <w:kern w:val="0"/>
                <w:sz w:val="21"/>
                <w:szCs w:val="21"/>
                <w:highlight w:val="none"/>
                <w:lang w:eastAsia="zh-CN"/>
              </w:rPr>
              <w:t>日（具体开工日期以合同为准）</w:t>
            </w:r>
          </w:p>
          <w:p w14:paraId="797AD46C">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□计划竣工日期：</w:t>
            </w:r>
            <w:r>
              <w:rPr>
                <w:rFonts w:hint="eastAsia" w:ascii="宋体" w:hAnsi="宋体" w:eastAsia="宋体" w:cs="宋体"/>
                <w:snapToGrid w:val="0"/>
                <w:color w:val="auto"/>
                <w:spacing w:val="0"/>
                <w:kern w:val="0"/>
                <w:sz w:val="21"/>
                <w:szCs w:val="21"/>
                <w:highlight w:val="none"/>
                <w:lang w:val="en-US" w:eastAsia="zh-CN"/>
              </w:rPr>
              <w:t xml:space="preserve">    </w:t>
            </w:r>
            <w:r>
              <w:rPr>
                <w:rFonts w:hint="eastAsia" w:ascii="宋体" w:hAnsi="宋体" w:eastAsia="宋体" w:cs="宋体"/>
                <w:snapToGrid w:val="0"/>
                <w:color w:val="auto"/>
                <w:spacing w:val="0"/>
                <w:kern w:val="0"/>
                <w:sz w:val="21"/>
                <w:szCs w:val="21"/>
                <w:highlight w:val="none"/>
                <w:lang w:eastAsia="zh-CN"/>
              </w:rPr>
              <w:t>年</w:t>
            </w:r>
            <w:r>
              <w:rPr>
                <w:rFonts w:hint="eastAsia" w:ascii="宋体" w:hAnsi="宋体" w:eastAsia="宋体" w:cs="宋体"/>
                <w:snapToGrid w:val="0"/>
                <w:color w:val="auto"/>
                <w:spacing w:val="0"/>
                <w:kern w:val="0"/>
                <w:sz w:val="21"/>
                <w:szCs w:val="21"/>
                <w:highlight w:val="none"/>
                <w:lang w:val="en-US" w:eastAsia="zh-CN"/>
              </w:rPr>
              <w:t xml:space="preserve">   </w:t>
            </w:r>
            <w:r>
              <w:rPr>
                <w:rFonts w:hint="eastAsia" w:ascii="宋体" w:hAnsi="宋体" w:eastAsia="宋体" w:cs="宋体"/>
                <w:snapToGrid w:val="0"/>
                <w:color w:val="auto"/>
                <w:spacing w:val="0"/>
                <w:kern w:val="0"/>
                <w:sz w:val="21"/>
                <w:szCs w:val="21"/>
                <w:highlight w:val="none"/>
                <w:lang w:eastAsia="zh-CN"/>
              </w:rPr>
              <w:t>月</w:t>
            </w:r>
            <w:r>
              <w:rPr>
                <w:rFonts w:hint="eastAsia" w:ascii="宋体" w:hAnsi="宋体" w:eastAsia="宋体" w:cs="宋体"/>
                <w:snapToGrid w:val="0"/>
                <w:color w:val="auto"/>
                <w:spacing w:val="0"/>
                <w:kern w:val="0"/>
                <w:sz w:val="21"/>
                <w:szCs w:val="21"/>
                <w:highlight w:val="none"/>
                <w:lang w:val="en-US" w:eastAsia="zh-CN"/>
              </w:rPr>
              <w:t xml:space="preserve">   </w:t>
            </w:r>
            <w:r>
              <w:rPr>
                <w:rFonts w:hint="eastAsia" w:ascii="宋体" w:hAnsi="宋体" w:eastAsia="宋体" w:cs="宋体"/>
                <w:snapToGrid w:val="0"/>
                <w:color w:val="auto"/>
                <w:spacing w:val="0"/>
                <w:kern w:val="0"/>
                <w:sz w:val="21"/>
                <w:szCs w:val="21"/>
                <w:highlight w:val="none"/>
                <w:lang w:eastAsia="zh-CN"/>
              </w:rPr>
              <w:t>日</w:t>
            </w:r>
          </w:p>
          <w:p w14:paraId="78546506">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□除上述总工期外，发包人还要求以下阶段工期：</w:t>
            </w:r>
            <w:r>
              <w:rPr>
                <w:rFonts w:hint="eastAsia" w:ascii="宋体" w:hAnsi="宋体" w:eastAsia="宋体" w:cs="宋体"/>
                <w:snapToGrid w:val="0"/>
                <w:color w:val="auto"/>
                <w:spacing w:val="0"/>
                <w:kern w:val="0"/>
                <w:sz w:val="21"/>
                <w:szCs w:val="21"/>
                <w:highlight w:val="none"/>
                <w:u w:val="single"/>
                <w:lang w:eastAsia="zh-CN"/>
              </w:rPr>
              <w:t xml:space="preserve">        </w:t>
            </w:r>
          </w:p>
        </w:tc>
      </w:tr>
      <w:tr w14:paraId="0EDF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3F98D21B">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17</w:t>
            </w:r>
          </w:p>
        </w:tc>
        <w:tc>
          <w:tcPr>
            <w:tcW w:w="1942" w:type="dxa"/>
            <w:vAlign w:val="center"/>
          </w:tcPr>
          <w:p w14:paraId="2990A1AE">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质量标准</w:t>
            </w:r>
          </w:p>
        </w:tc>
        <w:tc>
          <w:tcPr>
            <w:tcW w:w="7574" w:type="dxa"/>
            <w:vAlign w:val="center"/>
          </w:tcPr>
          <w:p w14:paraId="194274AA">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☑质量目标：合格</w:t>
            </w:r>
          </w:p>
          <w:p w14:paraId="4B4D4F6C">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☑质量标准：符合现行国家有关工程施工质量验收规范和标准的要求。</w:t>
            </w:r>
          </w:p>
          <w:p w14:paraId="475F0458">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□优质工程要求：无</w:t>
            </w:r>
          </w:p>
          <w:p w14:paraId="41CA2189">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 xml:space="preserve">工程优质费：☑无     □有：          </w:t>
            </w:r>
          </w:p>
        </w:tc>
      </w:tr>
      <w:tr w14:paraId="283E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Merge w:val="restart"/>
            <w:vAlign w:val="center"/>
          </w:tcPr>
          <w:p w14:paraId="0DBDCBCD">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18</w:t>
            </w:r>
          </w:p>
        </w:tc>
        <w:tc>
          <w:tcPr>
            <w:tcW w:w="1942" w:type="dxa"/>
            <w:vMerge w:val="restart"/>
            <w:vAlign w:val="center"/>
          </w:tcPr>
          <w:p w14:paraId="67C9861C">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合同类型</w:t>
            </w:r>
          </w:p>
        </w:tc>
        <w:tc>
          <w:tcPr>
            <w:tcW w:w="7574" w:type="dxa"/>
            <w:vAlign w:val="center"/>
          </w:tcPr>
          <w:p w14:paraId="4FCEDED4">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☑单价合同：发承包双方约定以工程量清单及其综合单价进行合同价款计算、调整和确认的建设工程施工合同。</w:t>
            </w:r>
          </w:p>
          <w:p w14:paraId="36CA303B">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614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Merge w:val="continue"/>
            <w:vAlign w:val="center"/>
          </w:tcPr>
          <w:p w14:paraId="21EFBF93">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p>
        </w:tc>
        <w:tc>
          <w:tcPr>
            <w:tcW w:w="1942" w:type="dxa"/>
            <w:vMerge w:val="continue"/>
            <w:vAlign w:val="center"/>
          </w:tcPr>
          <w:p w14:paraId="38C085FD">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p>
        </w:tc>
        <w:tc>
          <w:tcPr>
            <w:tcW w:w="7574" w:type="dxa"/>
            <w:vAlign w:val="top"/>
          </w:tcPr>
          <w:p w14:paraId="546539CD">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val="en-US" w:eastAsia="zh-CN"/>
              </w:rPr>
              <w:t xml:space="preserve">□总价合同：发承包双方约定以施工图及其预算和有关条件进行合同价款计算、调整和确认的建设工程施工合同。 </w:t>
            </w:r>
          </w:p>
          <w:p w14:paraId="4E82F35B">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val="en-US" w:eastAsia="zh-CN"/>
              </w:rPr>
              <w:t>注：总价合同是以施工图纸、规范为基础，在工程任务内容明确、发包人的要求条件清楚、计价标准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标准原则。</w:t>
            </w:r>
          </w:p>
        </w:tc>
      </w:tr>
      <w:tr w14:paraId="24F4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7CA21A53">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19</w:t>
            </w:r>
          </w:p>
        </w:tc>
        <w:tc>
          <w:tcPr>
            <w:tcW w:w="1942" w:type="dxa"/>
            <w:vAlign w:val="center"/>
          </w:tcPr>
          <w:p w14:paraId="7882243C">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房屋建筑工程绿色建筑标准</w:t>
            </w:r>
          </w:p>
        </w:tc>
        <w:tc>
          <w:tcPr>
            <w:tcW w:w="7574" w:type="dxa"/>
            <w:vAlign w:val="center"/>
          </w:tcPr>
          <w:p w14:paraId="25880B3D">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本招标项目</w:t>
            </w:r>
            <w:r>
              <w:rPr>
                <w:rFonts w:hint="eastAsia" w:ascii="宋体" w:hAnsi="宋体" w:eastAsia="宋体" w:cs="宋体"/>
                <w:snapToGrid w:val="0"/>
                <w:color w:val="auto"/>
                <w:spacing w:val="0"/>
                <w:kern w:val="0"/>
                <w:sz w:val="21"/>
                <w:szCs w:val="21"/>
                <w:highlight w:val="none"/>
                <w:u w:val="single"/>
                <w:lang w:val="en-US" w:eastAsia="zh-CN"/>
              </w:rPr>
              <w:t>不</w:t>
            </w:r>
            <w:r>
              <w:rPr>
                <w:rFonts w:hint="eastAsia" w:ascii="宋体" w:hAnsi="宋体" w:eastAsia="宋体" w:cs="宋体"/>
                <w:snapToGrid w:val="0"/>
                <w:color w:val="auto"/>
                <w:spacing w:val="0"/>
                <w:kern w:val="0"/>
                <w:sz w:val="21"/>
                <w:szCs w:val="21"/>
                <w:highlight w:val="none"/>
                <w:lang w:eastAsia="zh-CN"/>
              </w:rPr>
              <w:t>纳入绿色建设实施范围。</w:t>
            </w:r>
          </w:p>
        </w:tc>
      </w:tr>
      <w:tr w14:paraId="5497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7B848036">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19. 1</w:t>
            </w:r>
          </w:p>
        </w:tc>
        <w:tc>
          <w:tcPr>
            <w:tcW w:w="1942" w:type="dxa"/>
            <w:vAlign w:val="center"/>
          </w:tcPr>
          <w:p w14:paraId="22FD4FAB">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装配式建筑标准</w:t>
            </w:r>
          </w:p>
        </w:tc>
        <w:tc>
          <w:tcPr>
            <w:tcW w:w="7574" w:type="dxa"/>
            <w:vAlign w:val="center"/>
          </w:tcPr>
          <w:p w14:paraId="2F64332B">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本招标项目</w:t>
            </w:r>
            <w:r>
              <w:rPr>
                <w:rFonts w:hint="eastAsia" w:ascii="宋体" w:hAnsi="宋体" w:eastAsia="宋体" w:cs="宋体"/>
                <w:snapToGrid w:val="0"/>
                <w:color w:val="auto"/>
                <w:spacing w:val="0"/>
                <w:kern w:val="0"/>
                <w:sz w:val="21"/>
                <w:szCs w:val="21"/>
                <w:highlight w:val="none"/>
                <w:u w:val="single"/>
                <w:lang w:val="en-US" w:eastAsia="zh-CN"/>
              </w:rPr>
              <w:t>不</w:t>
            </w:r>
            <w:r>
              <w:rPr>
                <w:rFonts w:hint="eastAsia" w:ascii="宋体" w:hAnsi="宋体" w:eastAsia="宋体" w:cs="宋体"/>
                <w:snapToGrid w:val="0"/>
                <w:color w:val="auto"/>
                <w:spacing w:val="0"/>
                <w:kern w:val="0"/>
                <w:sz w:val="21"/>
                <w:szCs w:val="21"/>
                <w:highlight w:val="none"/>
                <w:lang w:eastAsia="zh-CN"/>
              </w:rPr>
              <w:t>纳入装配式建造建设实施范围。</w:t>
            </w:r>
          </w:p>
        </w:tc>
      </w:tr>
      <w:tr w14:paraId="516A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51275735">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20</w:t>
            </w:r>
          </w:p>
        </w:tc>
        <w:tc>
          <w:tcPr>
            <w:tcW w:w="1942" w:type="dxa"/>
            <w:vAlign w:val="center"/>
          </w:tcPr>
          <w:p w14:paraId="371688F1">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发包人提供材料和工程设备</w:t>
            </w:r>
          </w:p>
        </w:tc>
        <w:tc>
          <w:tcPr>
            <w:tcW w:w="7574" w:type="dxa"/>
            <w:vAlign w:val="center"/>
          </w:tcPr>
          <w:p w14:paraId="70C803EE">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u w:val="single"/>
                <w:lang w:val="en-US" w:eastAsia="zh-CN"/>
              </w:rPr>
            </w:pPr>
            <w:r>
              <w:rPr>
                <w:rFonts w:hint="eastAsia" w:ascii="宋体" w:hAnsi="宋体" w:eastAsia="宋体" w:cs="宋体"/>
                <w:snapToGrid w:val="0"/>
                <w:color w:val="auto"/>
                <w:spacing w:val="0"/>
                <w:kern w:val="0"/>
                <w:sz w:val="21"/>
                <w:szCs w:val="21"/>
                <w:highlight w:val="none"/>
                <w:lang w:eastAsia="zh-CN"/>
              </w:rPr>
              <w:t>发包人提供材料和工程设备： ☑无     □有：</w:t>
            </w:r>
            <w:r>
              <w:rPr>
                <w:rFonts w:hint="eastAsia" w:ascii="宋体" w:hAnsi="宋体" w:eastAsia="宋体" w:cs="宋体"/>
                <w:snapToGrid w:val="0"/>
                <w:color w:val="auto"/>
                <w:spacing w:val="0"/>
                <w:kern w:val="0"/>
                <w:sz w:val="21"/>
                <w:szCs w:val="21"/>
                <w:highlight w:val="none"/>
                <w:u w:val="single"/>
                <w:lang w:val="en-US" w:eastAsia="zh-CN"/>
              </w:rPr>
              <w:t xml:space="preserve">     </w:t>
            </w:r>
          </w:p>
        </w:tc>
      </w:tr>
      <w:tr w14:paraId="2C1E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17058FDD">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21</w:t>
            </w:r>
          </w:p>
        </w:tc>
        <w:tc>
          <w:tcPr>
            <w:tcW w:w="1942" w:type="dxa"/>
            <w:vAlign w:val="center"/>
          </w:tcPr>
          <w:p w14:paraId="5BF4212D">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承包人提供材料和工程设备</w:t>
            </w:r>
          </w:p>
        </w:tc>
        <w:tc>
          <w:tcPr>
            <w:tcW w:w="7574" w:type="dxa"/>
            <w:vAlign w:val="top"/>
          </w:tcPr>
          <w:p w14:paraId="3C60AB6E">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0A7E56D0">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□其它说明：鼓励承包人积极采购环保产品进行施工。</w:t>
            </w:r>
          </w:p>
        </w:tc>
      </w:tr>
      <w:tr w14:paraId="17CA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1CD488DE">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22</w:t>
            </w:r>
          </w:p>
        </w:tc>
        <w:tc>
          <w:tcPr>
            <w:tcW w:w="1942" w:type="dxa"/>
            <w:vAlign w:val="center"/>
          </w:tcPr>
          <w:p w14:paraId="3D29F0D2">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招标控制价</w:t>
            </w:r>
          </w:p>
        </w:tc>
        <w:tc>
          <w:tcPr>
            <w:tcW w:w="7574" w:type="dxa"/>
            <w:vAlign w:val="center"/>
          </w:tcPr>
          <w:p w14:paraId="067138EF">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b w:val="0"/>
                <w:bCs/>
                <w:color w:val="auto"/>
                <w:sz w:val="21"/>
                <w:szCs w:val="21"/>
                <w:highlight w:val="none"/>
              </w:rPr>
              <w:t>本次招标项目招标控制价为人民币(大写)：</w:t>
            </w:r>
            <w:r>
              <w:rPr>
                <w:rFonts w:hint="eastAsia" w:ascii="宋体" w:hAnsi="宋体" w:eastAsia="宋体" w:cs="宋体"/>
                <w:b w:val="0"/>
                <w:bCs/>
                <w:color w:val="auto"/>
                <w:sz w:val="21"/>
                <w:szCs w:val="21"/>
                <w:highlight w:val="none"/>
                <w:lang w:val="en-US" w:eastAsia="zh-CN"/>
              </w:rPr>
              <w:t>陆佰零陆万柒仟壹佰零捌元叁角玖分</w:t>
            </w:r>
            <w:r>
              <w:rPr>
                <w:rFonts w:hint="eastAsia" w:ascii="宋体" w:hAnsi="宋体" w:eastAsia="宋体" w:cs="宋体"/>
                <w:b w:val="0"/>
                <w:bCs/>
                <w:color w:val="auto"/>
                <w:sz w:val="21"/>
                <w:szCs w:val="21"/>
                <w:highlight w:val="none"/>
                <w:u w:val="none"/>
              </w:rPr>
              <w:t>（</w:t>
            </w:r>
            <w:r>
              <w:rPr>
                <w:rFonts w:hint="eastAsia" w:ascii="宋体" w:hAnsi="宋体" w:eastAsia="宋体" w:cs="宋体"/>
                <w:b w:val="0"/>
                <w:bCs/>
                <w:color w:val="auto"/>
                <w:sz w:val="21"/>
                <w:szCs w:val="21"/>
                <w:highlight w:val="none"/>
                <w:u w:val="none"/>
                <w:lang w:eastAsia="zh-CN"/>
              </w:rPr>
              <w:t>¥</w:t>
            </w:r>
            <w:r>
              <w:rPr>
                <w:rFonts w:hint="eastAsia" w:ascii="宋体" w:hAnsi="宋体" w:eastAsia="宋体" w:cs="宋体"/>
                <w:b w:val="0"/>
                <w:bCs/>
                <w:color w:val="auto"/>
                <w:sz w:val="21"/>
                <w:szCs w:val="21"/>
                <w:highlight w:val="none"/>
                <w:u w:val="single"/>
                <w:lang w:val="en-US" w:eastAsia="zh-CN"/>
              </w:rPr>
              <w:t>6067108.39</w:t>
            </w:r>
            <w:r>
              <w:rPr>
                <w:rFonts w:hint="eastAsia" w:ascii="宋体" w:hAnsi="宋体" w:eastAsia="宋体" w:cs="宋体"/>
                <w:b w:val="0"/>
                <w:bCs/>
                <w:color w:val="auto"/>
                <w:sz w:val="21"/>
                <w:szCs w:val="21"/>
                <w:highlight w:val="none"/>
                <w:u w:val="none"/>
              </w:rPr>
              <w:t>元）</w:t>
            </w:r>
            <w:r>
              <w:rPr>
                <w:rFonts w:hint="eastAsia" w:ascii="宋体" w:hAnsi="宋体" w:eastAsia="宋体" w:cs="宋体"/>
                <w:b w:val="0"/>
                <w:bCs/>
                <w:color w:val="auto"/>
                <w:sz w:val="21"/>
                <w:szCs w:val="21"/>
                <w:highlight w:val="none"/>
              </w:rPr>
              <w:t>。其中：</w:t>
            </w:r>
            <w:r>
              <w:rPr>
                <w:rFonts w:hint="eastAsia" w:ascii="宋体" w:hAnsi="宋体" w:eastAsia="宋体" w:cs="宋体"/>
                <w:b w:val="0"/>
                <w:bCs/>
                <w:color w:val="auto"/>
                <w:sz w:val="21"/>
                <w:szCs w:val="21"/>
                <w:highlight w:val="none"/>
                <w:lang w:val="en-US" w:eastAsia="zh-CN"/>
              </w:rPr>
              <w:t>暂列金（统一报价）</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u w:val="single"/>
                <w:lang w:eastAsia="zh-CN"/>
              </w:rPr>
              <w:t>496025.66</w:t>
            </w:r>
            <w:r>
              <w:rPr>
                <w:rFonts w:hint="eastAsia" w:ascii="宋体" w:hAnsi="宋体" w:eastAsia="宋体" w:cs="宋体"/>
                <w:b w:val="0"/>
                <w:bCs/>
                <w:color w:val="auto"/>
                <w:sz w:val="21"/>
                <w:szCs w:val="21"/>
                <w:highlight w:val="none"/>
              </w:rPr>
              <w:t>元</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安全生产措施费（不得低于）</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u w:val="single"/>
                <w:lang w:val="en-US" w:eastAsia="zh-CN"/>
              </w:rPr>
              <w:t>51955.09</w:t>
            </w:r>
            <w:r>
              <w:rPr>
                <w:rFonts w:hint="eastAsia" w:ascii="宋体" w:hAnsi="宋体" w:eastAsia="宋体" w:cs="宋体"/>
                <w:b w:val="0"/>
                <w:bCs/>
                <w:color w:val="auto"/>
                <w:sz w:val="21"/>
                <w:szCs w:val="21"/>
                <w:highlight w:val="none"/>
              </w:rPr>
              <w:t>元</w:t>
            </w:r>
            <w:r>
              <w:rPr>
                <w:rFonts w:hint="eastAsia" w:ascii="宋体" w:hAnsi="宋体" w:eastAsia="宋体" w:cs="宋体"/>
                <w:b w:val="0"/>
                <w:bCs/>
                <w:color w:val="auto"/>
                <w:sz w:val="21"/>
                <w:szCs w:val="21"/>
                <w:highlight w:val="none"/>
                <w:lang w:eastAsia="zh-CN"/>
              </w:rPr>
              <w:t>。</w:t>
            </w:r>
          </w:p>
        </w:tc>
      </w:tr>
      <w:tr w14:paraId="6ADE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466C40E6">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23</w:t>
            </w:r>
          </w:p>
        </w:tc>
        <w:tc>
          <w:tcPr>
            <w:tcW w:w="1942" w:type="dxa"/>
            <w:vAlign w:val="center"/>
          </w:tcPr>
          <w:p w14:paraId="2907AAAA">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投标人的投标报价</w:t>
            </w:r>
          </w:p>
        </w:tc>
        <w:tc>
          <w:tcPr>
            <w:tcW w:w="7574" w:type="dxa"/>
            <w:vAlign w:val="center"/>
          </w:tcPr>
          <w:p w14:paraId="116F769B">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30DFA148">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eastAsia="zh-CN"/>
              </w:rPr>
              <w:t>投标报价方式： ☑工程量清单报价</w:t>
            </w:r>
            <w:r>
              <w:rPr>
                <w:rFonts w:hint="eastAsia" w:ascii="宋体" w:hAnsi="宋体" w:eastAsia="宋体" w:cs="宋体"/>
                <w:snapToGrid w:val="0"/>
                <w:color w:val="auto"/>
                <w:spacing w:val="0"/>
                <w:kern w:val="0"/>
                <w:sz w:val="21"/>
                <w:szCs w:val="21"/>
                <w:highlight w:val="none"/>
                <w:lang w:val="en-US" w:eastAsia="zh-CN"/>
              </w:rPr>
              <w:t xml:space="preserve">     □其他：</w:t>
            </w:r>
          </w:p>
          <w:p w14:paraId="3EEB87A6">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报价时，应按《广东省建设工程计价依据（2018）》和《关于调整〈广东省建设工程计价依据2018〉计价规则的通知》（粤标定函〔2025〕22号）规定的费率报价，若招标工程量清单明确说明不计算预算包干费或另外确定预算包干费费率的，则按招标工程量清单报价。</w:t>
            </w:r>
          </w:p>
        </w:tc>
      </w:tr>
      <w:tr w14:paraId="3FE9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48FF9B68">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24</w:t>
            </w:r>
          </w:p>
        </w:tc>
        <w:tc>
          <w:tcPr>
            <w:tcW w:w="1942" w:type="dxa"/>
            <w:vAlign w:val="center"/>
          </w:tcPr>
          <w:p w14:paraId="57E06454">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投标报价风险</w:t>
            </w:r>
          </w:p>
        </w:tc>
        <w:tc>
          <w:tcPr>
            <w:tcW w:w="7574" w:type="dxa"/>
            <w:vAlign w:val="center"/>
          </w:tcPr>
          <w:p w14:paraId="0DB05961">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☑投标人依据招标文件约定自行考虑风险因素，一旦中标，投标报价（合同价）除合同另有约定外将不因市场变化而调整。</w:t>
            </w:r>
          </w:p>
          <w:p w14:paraId="1EB6555C">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7E528AA3">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☑人工费、材料费、机具费、管理费、利润、措施项目费（不含绿色施工安全防护措施费）投标人漏报或不报，招标人视为有关费用已包括在工程量清单项目的其它单价及合价中不予另外增加。</w:t>
            </w:r>
          </w:p>
          <w:p w14:paraId="2B03C546">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☑措施项目中的绿色施工安全防护措施费，必须按国家、省级、市级（即工程所在地）行业建设主管部门的规定计算，不得作为竞争性费用。</w:t>
            </w:r>
          </w:p>
          <w:p w14:paraId="7E540BEA">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F014A7">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人应按《广东省建设工程计价依据（2018）》和《关于调整〈广东省建设工程计价依据2018〉计价规则的通知》（粤标定函〔2025〕22号）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27758486">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5939FDD4">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4910E288">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r>
              <w:rPr>
                <w:rFonts w:hint="eastAsia" w:ascii="宋体" w:hAnsi="宋体" w:eastAsia="宋体" w:cs="宋体"/>
                <w:snapToGrid w:val="0"/>
                <w:color w:val="auto"/>
                <w:spacing w:val="0"/>
                <w:kern w:val="0"/>
                <w:sz w:val="21"/>
                <w:szCs w:val="21"/>
                <w:highlight w:val="none"/>
                <w:lang w:eastAsia="zh-CN"/>
              </w:rPr>
              <w:br w:type="textWrapping"/>
            </w:r>
            <w:r>
              <w:rPr>
                <w:rFonts w:hint="eastAsia" w:ascii="宋体" w:hAnsi="宋体" w:eastAsia="宋体" w:cs="宋体"/>
                <w:snapToGrid w:val="0"/>
                <w:color w:val="auto"/>
                <w:spacing w:val="0"/>
                <w:kern w:val="0"/>
                <w:sz w:val="21"/>
                <w:szCs w:val="21"/>
                <w:highlight w:val="none"/>
                <w:lang w:eastAsia="zh-CN"/>
              </w:rPr>
              <w:t>□其它：</w:t>
            </w:r>
          </w:p>
        </w:tc>
      </w:tr>
      <w:tr w14:paraId="48B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34012AB4">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25</w:t>
            </w:r>
          </w:p>
        </w:tc>
        <w:tc>
          <w:tcPr>
            <w:tcW w:w="1942" w:type="dxa"/>
            <w:vAlign w:val="center"/>
          </w:tcPr>
          <w:p w14:paraId="47FDCE28">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投标费用</w:t>
            </w:r>
          </w:p>
        </w:tc>
        <w:tc>
          <w:tcPr>
            <w:tcW w:w="7574" w:type="dxa"/>
            <w:vAlign w:val="center"/>
          </w:tcPr>
          <w:p w14:paraId="22661CD8">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投标人自行承担编制与递交投标文件的一切费用。</w:t>
            </w:r>
          </w:p>
        </w:tc>
      </w:tr>
      <w:tr w14:paraId="6998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1E71C644">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26</w:t>
            </w:r>
          </w:p>
        </w:tc>
        <w:tc>
          <w:tcPr>
            <w:tcW w:w="1942" w:type="dxa"/>
            <w:vAlign w:val="center"/>
          </w:tcPr>
          <w:p w14:paraId="48EE579D">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投标人资格要求</w:t>
            </w:r>
          </w:p>
        </w:tc>
        <w:tc>
          <w:tcPr>
            <w:tcW w:w="7574" w:type="dxa"/>
            <w:vAlign w:val="center"/>
          </w:tcPr>
          <w:p w14:paraId="34427992">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napToGrid w:val="0"/>
                <w:color w:val="auto"/>
                <w:kern w:val="0"/>
                <w:sz w:val="21"/>
                <w:szCs w:val="24"/>
                <w:highlight w:val="none"/>
              </w:rPr>
            </w:pPr>
            <w:r>
              <w:rPr>
                <w:rFonts w:hint="eastAsia" w:ascii="宋体" w:hAnsi="宋体" w:eastAsia="宋体" w:cs="宋体"/>
                <w:snapToGrid w:val="0"/>
                <w:color w:val="auto"/>
                <w:kern w:val="0"/>
                <w:sz w:val="21"/>
                <w:szCs w:val="24"/>
                <w:highlight w:val="none"/>
              </w:rPr>
              <w:t>1．本次招标</w:t>
            </w:r>
            <w:r>
              <w:rPr>
                <w:rFonts w:hint="eastAsia" w:ascii="宋体" w:hAnsi="宋体" w:eastAsia="宋体" w:cs="宋体"/>
                <w:b/>
                <w:bCs/>
                <w:snapToGrid w:val="0"/>
                <w:color w:val="auto"/>
                <w:kern w:val="0"/>
                <w:sz w:val="21"/>
                <w:szCs w:val="24"/>
                <w:highlight w:val="none"/>
                <w:u w:val="single"/>
              </w:rPr>
              <w:t>不接受</w:t>
            </w:r>
            <w:r>
              <w:rPr>
                <w:rFonts w:hint="eastAsia" w:ascii="宋体" w:hAnsi="宋体" w:eastAsia="宋体" w:cs="宋体"/>
                <w:snapToGrid w:val="0"/>
                <w:color w:val="auto"/>
                <w:kern w:val="0"/>
                <w:sz w:val="21"/>
                <w:szCs w:val="24"/>
                <w:highlight w:val="none"/>
              </w:rPr>
              <w:t>联合体投标。</w:t>
            </w:r>
          </w:p>
          <w:p w14:paraId="1BDDB259">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b/>
                <w:bCs/>
                <w:snapToGrid w:val="0"/>
                <w:color w:val="auto"/>
                <w:kern w:val="0"/>
                <w:sz w:val="21"/>
                <w:highlight w:val="none"/>
              </w:rPr>
            </w:pPr>
            <w:r>
              <w:rPr>
                <w:rFonts w:hint="eastAsia" w:ascii="宋体" w:hAnsi="宋体" w:eastAsia="宋体" w:cs="宋体"/>
                <w:b/>
                <w:bCs/>
                <w:snapToGrid w:val="0"/>
                <w:color w:val="auto"/>
                <w:kern w:val="0"/>
                <w:sz w:val="21"/>
                <w:highlight w:val="none"/>
              </w:rPr>
              <w:t>2．</w:t>
            </w:r>
            <w:r>
              <w:rPr>
                <w:rFonts w:hint="eastAsia" w:ascii="宋体" w:hAnsi="宋体" w:eastAsia="宋体" w:cs="宋体"/>
                <w:b/>
                <w:bCs/>
                <w:color w:val="auto"/>
                <w:sz w:val="21"/>
                <w:szCs w:val="21"/>
                <w:highlight w:val="none"/>
              </w:rPr>
              <w:t>资格资质要求</w:t>
            </w:r>
          </w:p>
          <w:p w14:paraId="27E21733">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2.1 投标人须具备独立法人资格，按国家法律经营。</w:t>
            </w:r>
          </w:p>
          <w:p w14:paraId="54072DF8">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2.2 投标人须具备持有建设行政主管部门颁发的企业资质证书及安全生产许可证。</w:t>
            </w:r>
          </w:p>
          <w:p w14:paraId="54AC1B17">
            <w:pPr>
              <w:pStyle w:val="2"/>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b/>
                <w:bCs/>
                <w:snapToGrid w:val="0"/>
                <w:color w:val="auto"/>
                <w:kern w:val="0"/>
                <w:sz w:val="21"/>
                <w:szCs w:val="21"/>
                <w:highlight w:val="none"/>
                <w:u w:val="single"/>
                <w:lang w:val="en-US" w:eastAsia="en-US" w:bidi="ar-SA"/>
              </w:rPr>
            </w:pPr>
            <w:bookmarkStart w:id="5" w:name="_Toc2187"/>
            <w:bookmarkStart w:id="6" w:name="_Toc18307"/>
            <w:bookmarkStart w:id="7" w:name="_Toc23089"/>
            <w:r>
              <w:rPr>
                <w:rFonts w:hint="eastAsia" w:ascii="宋体" w:hAnsi="宋体" w:eastAsia="宋体" w:cs="宋体"/>
                <w:snapToGrid w:val="0"/>
                <w:color w:val="auto"/>
                <w:kern w:val="0"/>
                <w:sz w:val="21"/>
                <w:highlight w:val="none"/>
              </w:rPr>
              <w:t>2.3</w:t>
            </w:r>
            <w:r>
              <w:rPr>
                <w:rFonts w:hint="eastAsia" w:ascii="宋体" w:hAnsi="宋体" w:eastAsia="宋体" w:cs="宋体"/>
                <w:snapToGrid w:val="0"/>
                <w:color w:val="auto"/>
                <w:kern w:val="0"/>
                <w:sz w:val="21"/>
                <w:highlight w:val="none"/>
                <w:lang w:val="en-US" w:eastAsia="zh-CN"/>
              </w:rPr>
              <w:t xml:space="preserve"> </w:t>
            </w:r>
            <w:r>
              <w:rPr>
                <w:rFonts w:hint="eastAsia" w:ascii="宋体" w:hAnsi="宋体" w:eastAsia="宋体" w:cs="宋体"/>
                <w:color w:val="auto"/>
                <w:sz w:val="21"/>
                <w:szCs w:val="21"/>
                <w:highlight w:val="none"/>
              </w:rPr>
              <w:t>投标人须</w:t>
            </w:r>
            <w:r>
              <w:rPr>
                <w:rFonts w:hint="eastAsia" w:ascii="宋体" w:hAnsi="宋体" w:eastAsia="宋体" w:cs="宋体"/>
                <w:color w:val="auto"/>
                <w:sz w:val="21"/>
                <w:szCs w:val="21"/>
                <w:highlight w:val="none"/>
                <w:lang w:val="en-US" w:eastAsia="zh-CN"/>
              </w:rPr>
              <w:t>同时具</w:t>
            </w:r>
            <w:r>
              <w:rPr>
                <w:rFonts w:hint="eastAsia" w:ascii="宋体" w:hAnsi="宋体" w:eastAsia="宋体" w:cs="宋体"/>
                <w:color w:val="auto"/>
                <w:sz w:val="21"/>
                <w:szCs w:val="21"/>
                <w:highlight w:val="none"/>
              </w:rPr>
              <w:t>备以下资质：</w:t>
            </w:r>
            <w:r>
              <w:rPr>
                <w:rFonts w:hint="eastAsia" w:ascii="宋体" w:hAnsi="宋体" w:eastAsia="宋体" w:cs="宋体"/>
                <w:color w:val="auto"/>
                <w:sz w:val="21"/>
                <w:szCs w:val="21"/>
                <w:highlight w:val="none"/>
              </w:rPr>
              <w:br w:type="textWrapping"/>
            </w:r>
            <w:r>
              <w:rPr>
                <w:rFonts w:hint="eastAsia" w:ascii="宋体" w:hAnsi="宋体" w:eastAsia="宋体" w:cs="宋体"/>
                <w:b/>
                <w:bCs/>
                <w:color w:val="auto"/>
                <w:sz w:val="21"/>
                <w:szCs w:val="21"/>
                <w:highlight w:val="none"/>
                <w:u w:val="single"/>
              </w:rPr>
              <w:t>①</w:t>
            </w:r>
            <w:bookmarkEnd w:id="5"/>
            <w:r>
              <w:rPr>
                <w:rFonts w:hint="eastAsia" w:ascii="宋体" w:hAnsi="宋体" w:eastAsia="宋体" w:cs="宋体"/>
                <w:b/>
                <w:bCs/>
                <w:color w:val="auto"/>
                <w:sz w:val="21"/>
                <w:szCs w:val="21"/>
                <w:highlight w:val="none"/>
                <w:u w:val="single"/>
              </w:rPr>
              <w:t>有效期内的</w:t>
            </w:r>
            <w:r>
              <w:rPr>
                <w:rFonts w:hint="eastAsia" w:ascii="宋体" w:hAnsi="宋体" w:eastAsia="宋体" w:cs="宋体"/>
                <w:b/>
                <w:bCs/>
                <w:snapToGrid w:val="0"/>
                <w:color w:val="auto"/>
                <w:kern w:val="0"/>
                <w:sz w:val="21"/>
                <w:szCs w:val="21"/>
                <w:highlight w:val="none"/>
                <w:u w:val="single"/>
                <w:lang w:val="en-US" w:eastAsia="en-US" w:bidi="ar-SA"/>
              </w:rPr>
              <w:t>电力工程施工总承包三级以上（含三级）资质或输变电工程专业承包三级以上（含三级）资质。</w:t>
            </w:r>
            <w:bookmarkEnd w:id="6"/>
            <w:bookmarkEnd w:id="7"/>
          </w:p>
          <w:p w14:paraId="0CD94ECD">
            <w:pPr>
              <w:pStyle w:val="2"/>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b/>
                <w:bCs/>
                <w:snapToGrid w:val="0"/>
                <w:color w:val="auto"/>
                <w:kern w:val="0"/>
                <w:sz w:val="21"/>
                <w:szCs w:val="21"/>
                <w:highlight w:val="none"/>
                <w:u w:val="single"/>
                <w:lang w:val="en-US" w:eastAsia="en-US" w:bidi="ar-SA"/>
              </w:rPr>
            </w:pPr>
            <w:bookmarkStart w:id="8" w:name="_Toc29055"/>
            <w:bookmarkStart w:id="9" w:name="_Toc14492"/>
            <w:r>
              <w:rPr>
                <w:rFonts w:hint="eastAsia" w:ascii="宋体" w:hAnsi="宋体" w:eastAsia="宋体" w:cs="宋体"/>
                <w:b/>
                <w:bCs/>
                <w:snapToGrid w:val="0"/>
                <w:color w:val="auto"/>
                <w:kern w:val="0"/>
                <w:sz w:val="21"/>
                <w:szCs w:val="21"/>
                <w:highlight w:val="none"/>
                <w:u w:val="single"/>
                <w:lang w:val="en-US" w:eastAsia="en-US" w:bidi="ar-SA"/>
              </w:rPr>
              <w:t>②有效期内的《承装（修、试）电力设施许可证》，许可类型和等级为：承装类、承修类、承试类三级以上（含三级）资质许可。</w:t>
            </w:r>
            <w:bookmarkEnd w:id="8"/>
            <w:bookmarkEnd w:id="9"/>
          </w:p>
          <w:p w14:paraId="53218498">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2.4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7B1DAA7F">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napToGrid w:val="0"/>
                <w:color w:val="auto"/>
                <w:kern w:val="0"/>
                <w:sz w:val="21"/>
                <w:highlight w:val="none"/>
                <w:lang w:eastAsia="zh-CN"/>
              </w:rPr>
            </w:pPr>
            <w:r>
              <w:rPr>
                <w:rFonts w:hint="eastAsia" w:ascii="宋体" w:hAnsi="宋体" w:eastAsia="宋体" w:cs="宋体"/>
                <w:snapToGrid w:val="0"/>
                <w:color w:val="auto"/>
                <w:kern w:val="0"/>
                <w:sz w:val="21"/>
                <w:highlight w:val="none"/>
              </w:rPr>
              <w:t>3．相关人员要求</w:t>
            </w:r>
          </w:p>
          <w:p w14:paraId="16C000DA">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trike w:val="0"/>
                <w:dstrike w:val="0"/>
                <w:snapToGrid w:val="0"/>
                <w:color w:val="auto"/>
                <w:kern w:val="0"/>
                <w:sz w:val="21"/>
                <w:highlight w:val="none"/>
              </w:rPr>
            </w:pPr>
            <w:r>
              <w:rPr>
                <w:rFonts w:hint="eastAsia" w:ascii="宋体" w:hAnsi="宋体" w:eastAsia="宋体" w:cs="宋体"/>
                <w:snapToGrid w:val="0"/>
                <w:color w:val="auto"/>
                <w:kern w:val="0"/>
                <w:sz w:val="21"/>
                <w:highlight w:val="none"/>
              </w:rPr>
              <w:t xml:space="preserve">3.1 </w:t>
            </w:r>
            <w:r>
              <w:rPr>
                <w:rFonts w:hint="eastAsia" w:ascii="宋体" w:hAnsi="宋体" w:eastAsia="宋体" w:cs="宋体"/>
                <w:color w:val="auto"/>
                <w:sz w:val="21"/>
                <w:szCs w:val="21"/>
                <w:highlight w:val="none"/>
                <w:lang w:val="en-US" w:eastAsia="zh-CN"/>
              </w:rPr>
              <w:t>拟派项目经理为</w:t>
            </w:r>
            <w:r>
              <w:rPr>
                <w:rFonts w:hint="eastAsia" w:ascii="宋体" w:hAnsi="宋体" w:eastAsia="宋体" w:cs="宋体"/>
                <w:color w:val="auto"/>
                <w:sz w:val="21"/>
                <w:szCs w:val="21"/>
                <w:highlight w:val="none"/>
                <w:u w:val="single"/>
                <w:lang w:val="en-US" w:eastAsia="zh-CN"/>
              </w:rPr>
              <w:t>机电工程</w:t>
            </w:r>
            <w:r>
              <w:rPr>
                <w:rFonts w:hint="eastAsia" w:ascii="宋体" w:hAnsi="宋体" w:eastAsia="宋体" w:cs="宋体"/>
                <w:color w:val="auto"/>
                <w:sz w:val="21"/>
                <w:szCs w:val="21"/>
                <w:highlight w:val="none"/>
                <w:lang w:val="en-US" w:eastAsia="zh-CN"/>
              </w:rPr>
              <w:t>专业一级或二级注册建造师，应持有住建部门印发的在使用有效期内的有效电子注册证</w:t>
            </w:r>
            <w:r>
              <w:rPr>
                <w:rFonts w:hint="eastAsia" w:ascii="宋体" w:hAnsi="宋体" w:eastAsia="宋体" w:cs="宋体"/>
                <w:strike w:val="0"/>
                <w:dstrike w:val="0"/>
                <w:color w:val="auto"/>
                <w:sz w:val="21"/>
                <w:szCs w:val="21"/>
                <w:highlight w:val="none"/>
                <w:lang w:val="en-US" w:eastAsia="zh-CN"/>
              </w:rPr>
              <w:t>书（根据广东省住房和城乡建设厅（粤建市函〔2023〕469号）文件精神，二级注册建造师可随注册企业在全国范围内执业），同时须具备有效安全生产考核合格证明（B证，安全生产考核合格证书或“广东省建筑施工企业管理人员安全生产考核信息系统”考核合格信息打印页），且未担任其他在施（包括已中标未开工、已建成未竣工、在项目开标时间仍在建筑市场监管平台被“锁定”无法报建的）建设工程项目的项目经理。</w:t>
            </w:r>
          </w:p>
          <w:p w14:paraId="46B564DA">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trike w:val="0"/>
                <w:dstrike w:val="0"/>
                <w:snapToGrid w:val="0"/>
                <w:color w:val="auto"/>
                <w:kern w:val="0"/>
                <w:sz w:val="21"/>
                <w:highlight w:val="none"/>
              </w:rPr>
            </w:pPr>
            <w:r>
              <w:rPr>
                <w:rFonts w:hint="eastAsia" w:ascii="宋体" w:hAnsi="宋体" w:eastAsia="宋体" w:cs="宋体"/>
                <w:strike w:val="0"/>
                <w:dstrike w:val="0"/>
                <w:snapToGrid w:val="0"/>
                <w:color w:val="auto"/>
                <w:kern w:val="0"/>
                <w:sz w:val="21"/>
                <w:highlight w:val="none"/>
              </w:rPr>
              <w:t xml:space="preserve">3.2 </w:t>
            </w:r>
            <w:r>
              <w:rPr>
                <w:rFonts w:hint="eastAsia" w:ascii="宋体" w:hAnsi="宋体" w:eastAsia="宋体" w:cs="宋体"/>
                <w:strike w:val="0"/>
                <w:dstrike w:val="0"/>
                <w:color w:val="auto"/>
                <w:sz w:val="21"/>
                <w:szCs w:val="21"/>
                <w:highlight w:val="none"/>
                <w:lang w:val="en-US" w:eastAsia="zh-CN"/>
              </w:rPr>
              <w:t>拟派项目技术负责人须具备</w:t>
            </w:r>
            <w:r>
              <w:rPr>
                <w:rFonts w:hint="eastAsia" w:ascii="宋体" w:hAnsi="宋体" w:eastAsia="宋体" w:cs="宋体"/>
                <w:strike w:val="0"/>
                <w:dstrike w:val="0"/>
                <w:color w:val="auto"/>
                <w:sz w:val="21"/>
                <w:szCs w:val="21"/>
                <w:highlight w:val="none"/>
                <w:u w:val="single"/>
                <w:lang w:val="en-US" w:eastAsia="zh-CN"/>
              </w:rPr>
              <w:t>机电工程或电力工程或电气</w:t>
            </w:r>
            <w:r>
              <w:rPr>
                <w:rFonts w:hint="eastAsia" w:hAnsi="宋体" w:cs="宋体"/>
                <w:strike w:val="0"/>
                <w:dstrike w:val="0"/>
                <w:color w:val="auto"/>
                <w:sz w:val="21"/>
                <w:szCs w:val="21"/>
                <w:highlight w:val="none"/>
                <w:u w:val="single"/>
                <w:lang w:val="en-US" w:eastAsia="zh-CN"/>
              </w:rPr>
              <w:t>工程</w:t>
            </w:r>
            <w:r>
              <w:rPr>
                <w:rFonts w:hint="eastAsia" w:ascii="宋体" w:hAnsi="宋体" w:eastAsia="宋体" w:cs="宋体"/>
                <w:strike w:val="0"/>
                <w:dstrike w:val="0"/>
                <w:color w:val="auto"/>
                <w:sz w:val="21"/>
                <w:szCs w:val="21"/>
                <w:highlight w:val="none"/>
                <w:lang w:val="en-US" w:eastAsia="zh-CN"/>
              </w:rPr>
              <w:t>相关专业中级以上（含中级）技术职称。</w:t>
            </w:r>
          </w:p>
          <w:p w14:paraId="5590E974">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trike w:val="0"/>
                <w:dstrike w:val="0"/>
                <w:snapToGrid w:val="0"/>
                <w:color w:val="auto"/>
                <w:kern w:val="0"/>
                <w:sz w:val="21"/>
                <w:highlight w:val="none"/>
              </w:rPr>
            </w:pPr>
            <w:r>
              <w:rPr>
                <w:rFonts w:hint="eastAsia" w:ascii="宋体" w:hAnsi="宋体" w:eastAsia="宋体" w:cs="宋体"/>
                <w:strike w:val="0"/>
                <w:dstrike w:val="0"/>
                <w:snapToGrid w:val="0"/>
                <w:color w:val="auto"/>
                <w:kern w:val="0"/>
                <w:sz w:val="21"/>
                <w:highlight w:val="none"/>
              </w:rPr>
              <w:t xml:space="preserve">3.3 </w:t>
            </w:r>
            <w:r>
              <w:rPr>
                <w:rFonts w:hint="eastAsia" w:ascii="宋体" w:hAnsi="宋体" w:eastAsia="宋体" w:cs="宋体"/>
                <w:strike w:val="0"/>
                <w:dstrike w:val="0"/>
                <w:color w:val="auto"/>
                <w:sz w:val="21"/>
                <w:szCs w:val="21"/>
                <w:highlight w:val="none"/>
              </w:rPr>
              <w:t>拟派专职安全生产管理人员须具备有效安全生产考核合格证明（C证，</w:t>
            </w:r>
            <w:r>
              <w:rPr>
                <w:rFonts w:hint="eastAsia" w:ascii="宋体" w:hAnsi="宋体" w:eastAsia="宋体" w:cs="宋体"/>
                <w:strike w:val="0"/>
                <w:dstrike w:val="0"/>
                <w:color w:val="auto"/>
                <w:sz w:val="21"/>
                <w:szCs w:val="21"/>
                <w:highlight w:val="none"/>
                <w:lang w:val="en-US" w:eastAsia="zh-CN"/>
              </w:rPr>
              <w:t>安全生产考核合格证书或“广东省建筑施工企业管理人员安全生产考核信息系统”考核合格信息打印页</w:t>
            </w:r>
            <w:r>
              <w:rPr>
                <w:rFonts w:hint="eastAsia" w:ascii="宋体" w:hAnsi="宋体" w:eastAsia="宋体" w:cs="宋体"/>
                <w:strike w:val="0"/>
                <w:dstrike w:val="0"/>
                <w:color w:val="auto"/>
                <w:sz w:val="21"/>
                <w:szCs w:val="21"/>
                <w:highlight w:val="none"/>
              </w:rPr>
              <w:t>），且不少于1人。</w:t>
            </w:r>
          </w:p>
          <w:p w14:paraId="626E3183">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 xml:space="preserve">3.4 </w:t>
            </w:r>
            <w:r>
              <w:rPr>
                <w:rFonts w:hint="eastAsia" w:ascii="宋体" w:hAnsi="宋体" w:eastAsia="宋体" w:cs="宋体"/>
                <w:color w:val="auto"/>
                <w:sz w:val="21"/>
                <w:szCs w:val="21"/>
                <w:highlight w:val="none"/>
              </w:rPr>
              <w:t>投标人（包括组成联合体的所有成员单位）与其拟派往本项目管理机构的所有人员之间必须具备合法、唯一的劳动聘用关系。拟派人员中具备注册执业资格的，其注册单位须与投标人保持一致（提供社保缴纳证明）。</w:t>
            </w:r>
          </w:p>
          <w:p w14:paraId="0A504B11">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4．禁止投标条款：</w:t>
            </w:r>
          </w:p>
          <w:p w14:paraId="42AD379F">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 xml:space="preserve">4.1 </w:t>
            </w:r>
            <w:r>
              <w:rPr>
                <w:rFonts w:hint="eastAsia" w:ascii="宋体" w:hAnsi="宋体" w:eastAsia="宋体" w:cs="宋体"/>
                <w:snapToGrid w:val="0"/>
                <w:color w:val="auto"/>
                <w:spacing w:val="0"/>
                <w:kern w:val="0"/>
                <w:sz w:val="21"/>
                <w:szCs w:val="21"/>
                <w:highlight w:val="none"/>
                <w:lang w:val="en-US" w:eastAsia="zh-CN"/>
              </w:rPr>
              <w:t xml:space="preserve"> </w:t>
            </w:r>
            <w:r>
              <w:rPr>
                <w:rFonts w:hint="eastAsia" w:ascii="宋体" w:hAnsi="宋体" w:eastAsia="宋体" w:cs="宋体"/>
                <w:snapToGrid w:val="0"/>
                <w:color w:val="auto"/>
                <w:spacing w:val="0"/>
                <w:kern w:val="0"/>
                <w:sz w:val="21"/>
                <w:szCs w:val="21"/>
                <w:highlight w:val="none"/>
                <w:lang w:eastAsia="zh-CN"/>
              </w:rPr>
              <w:t>投标人不得存在下列情形之一：</w:t>
            </w:r>
          </w:p>
          <w:p w14:paraId="7E1D1F2A">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（1）为招标人不具有独立法人资格的附属机构（单位）；</w:t>
            </w:r>
          </w:p>
          <w:p w14:paraId="4899FD3E">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（2）为本招标项目前期准备提供设计或咨询服务的；</w:t>
            </w:r>
          </w:p>
          <w:p w14:paraId="6ECBA336">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（3）与本招标项目的其他投标人为同一个单位负责人；</w:t>
            </w:r>
          </w:p>
          <w:p w14:paraId="5F775644">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（4）与本招标项目的其他投标人存在控股、管理关系；</w:t>
            </w:r>
          </w:p>
          <w:p w14:paraId="70334B9C">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（5）为本招标项目的监理人；</w:t>
            </w:r>
          </w:p>
          <w:p w14:paraId="16470DC0">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（6）为本招标项目的代建人；</w:t>
            </w:r>
          </w:p>
          <w:p w14:paraId="0971C90E">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（7）为本招标项目的招标代理机构；</w:t>
            </w:r>
          </w:p>
          <w:p w14:paraId="7B8E2552">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（8）与本招标项目的监理人或代建人或招标代理机构同为一个法定代表人；</w:t>
            </w:r>
          </w:p>
          <w:p w14:paraId="1953B937">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（9）与本招标项目的监理人或代建人或招标代理机构存在控股或参股关系；</w:t>
            </w:r>
          </w:p>
          <w:p w14:paraId="07DBEDC5">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（10）与本招标项目的监理人或代建人或招标代理机构存在相互任职或工作关系；</w:t>
            </w:r>
          </w:p>
          <w:p w14:paraId="7F28AF1C">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（11）被依法暂停或者取消投标资格；</w:t>
            </w:r>
          </w:p>
          <w:p w14:paraId="3838924E">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（12）被责令停产停业、暂扣或者吊销许可证、暂扣或者吊销执照；</w:t>
            </w:r>
          </w:p>
          <w:p w14:paraId="22A25A5A">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（13）进入清算程序，或被宣告破产，或其他丧失履约能力的情形；</w:t>
            </w:r>
          </w:p>
          <w:p w14:paraId="4F904E6D">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（14）在最近三年内发生重大工程质量或安全问题（以相关行业主管部门的行政处罚决定或司法机关出具的有关法律文书为准）；</w:t>
            </w:r>
          </w:p>
          <w:p w14:paraId="75A6EA90">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（15）被“信用中国”网站（https://www.creditchina.gov.cn）发布的《法人和非法人组织公共信用信息报告》列为严重失信主体名单的。</w:t>
            </w:r>
          </w:p>
          <w:p w14:paraId="7902123E">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4.2  招标人拒绝以下名单中的单位参加本次投标：</w:t>
            </w:r>
          </w:p>
          <w:tbl>
            <w:tblPr>
              <w:tblStyle w:val="16"/>
              <w:tblW w:w="48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3539"/>
              <w:gridCol w:w="2934"/>
            </w:tblGrid>
            <w:tr w14:paraId="5274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 w:type="pct"/>
                  <w:vAlign w:val="center"/>
                </w:tcPr>
                <w:p w14:paraId="6CC3D3EE">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center"/>
                    <w:textAlignment w:val="auto"/>
                    <w:rPr>
                      <w:rFonts w:hint="eastAsia" w:ascii="宋体" w:hAnsi="宋体" w:eastAsia="宋体" w:cs="宋体"/>
                      <w:b/>
                      <w:bCs/>
                      <w:snapToGrid w:val="0"/>
                      <w:color w:val="auto"/>
                      <w:spacing w:val="0"/>
                      <w:kern w:val="0"/>
                      <w:sz w:val="21"/>
                      <w:szCs w:val="21"/>
                      <w:highlight w:val="none"/>
                      <w:lang w:val="en-US" w:eastAsia="zh-CN" w:bidi="ar-SA"/>
                    </w:rPr>
                  </w:pPr>
                  <w:r>
                    <w:rPr>
                      <w:rFonts w:hint="eastAsia" w:ascii="宋体" w:hAnsi="宋体" w:eastAsia="宋体" w:cs="宋体"/>
                      <w:b/>
                      <w:bCs/>
                      <w:snapToGrid w:val="0"/>
                      <w:color w:val="auto"/>
                      <w:spacing w:val="0"/>
                      <w:kern w:val="0"/>
                      <w:sz w:val="21"/>
                      <w:szCs w:val="21"/>
                      <w:highlight w:val="none"/>
                      <w:lang w:val="en-US" w:eastAsia="zh-CN" w:bidi="ar-SA"/>
                    </w:rPr>
                    <w:t>序号</w:t>
                  </w:r>
                </w:p>
              </w:tc>
              <w:tc>
                <w:tcPr>
                  <w:tcW w:w="2465" w:type="pct"/>
                  <w:vAlign w:val="center"/>
                </w:tcPr>
                <w:p w14:paraId="15AC1188">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center"/>
                    <w:textAlignment w:val="auto"/>
                    <w:rPr>
                      <w:rFonts w:hint="eastAsia" w:ascii="宋体" w:hAnsi="宋体" w:eastAsia="宋体" w:cs="宋体"/>
                      <w:b/>
                      <w:bCs/>
                      <w:snapToGrid w:val="0"/>
                      <w:color w:val="auto"/>
                      <w:spacing w:val="0"/>
                      <w:kern w:val="0"/>
                      <w:sz w:val="21"/>
                      <w:szCs w:val="21"/>
                      <w:highlight w:val="none"/>
                      <w:lang w:val="en-US" w:eastAsia="zh-CN" w:bidi="ar-SA"/>
                    </w:rPr>
                  </w:pPr>
                  <w:r>
                    <w:rPr>
                      <w:rFonts w:hint="eastAsia" w:ascii="宋体" w:hAnsi="宋体" w:eastAsia="宋体" w:cs="宋体"/>
                      <w:b/>
                      <w:bCs/>
                      <w:snapToGrid w:val="0"/>
                      <w:color w:val="auto"/>
                      <w:spacing w:val="0"/>
                      <w:kern w:val="0"/>
                      <w:sz w:val="21"/>
                      <w:szCs w:val="21"/>
                      <w:highlight w:val="none"/>
                      <w:lang w:val="en-US" w:eastAsia="zh-CN" w:bidi="ar-SA"/>
                    </w:rPr>
                    <w:t>单位名称</w:t>
                  </w:r>
                </w:p>
              </w:tc>
              <w:tc>
                <w:tcPr>
                  <w:tcW w:w="2051" w:type="pct"/>
                  <w:vAlign w:val="center"/>
                </w:tcPr>
                <w:p w14:paraId="199006E2">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center"/>
                    <w:textAlignment w:val="auto"/>
                    <w:rPr>
                      <w:rFonts w:hint="eastAsia" w:ascii="宋体" w:hAnsi="宋体" w:eastAsia="宋体" w:cs="宋体"/>
                      <w:b/>
                      <w:bCs/>
                      <w:snapToGrid w:val="0"/>
                      <w:color w:val="auto"/>
                      <w:spacing w:val="0"/>
                      <w:kern w:val="0"/>
                      <w:sz w:val="21"/>
                      <w:szCs w:val="21"/>
                      <w:highlight w:val="none"/>
                      <w:lang w:val="en-US" w:eastAsia="zh-CN" w:bidi="ar-SA"/>
                    </w:rPr>
                  </w:pPr>
                  <w:r>
                    <w:rPr>
                      <w:rFonts w:hint="eastAsia" w:ascii="宋体" w:hAnsi="宋体" w:eastAsia="宋体" w:cs="宋体"/>
                      <w:b/>
                      <w:bCs/>
                      <w:snapToGrid w:val="0"/>
                      <w:color w:val="auto"/>
                      <w:spacing w:val="0"/>
                      <w:kern w:val="0"/>
                      <w:sz w:val="21"/>
                      <w:szCs w:val="21"/>
                      <w:highlight w:val="none"/>
                      <w:lang w:val="en-US" w:eastAsia="zh-CN" w:bidi="ar-SA"/>
                    </w:rPr>
                    <w:t>拒绝原因</w:t>
                  </w:r>
                </w:p>
              </w:tc>
            </w:tr>
            <w:tr w14:paraId="3D56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 w:type="pct"/>
                  <w:vAlign w:val="center"/>
                </w:tcPr>
                <w:p w14:paraId="53D3B96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center"/>
                    <w:textAlignment w:val="auto"/>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1</w:t>
                  </w:r>
                </w:p>
              </w:tc>
              <w:tc>
                <w:tcPr>
                  <w:tcW w:w="2465" w:type="pct"/>
                  <w:vAlign w:val="center"/>
                </w:tcPr>
                <w:p w14:paraId="34E4139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right="210" w:rightChars="100"/>
                    <w:jc w:val="center"/>
                    <w:textAlignment w:val="auto"/>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rPr>
                    <w:t>广东韶关数据产业投资发展有限公司</w:t>
                  </w:r>
                </w:p>
              </w:tc>
              <w:tc>
                <w:tcPr>
                  <w:tcW w:w="2051" w:type="pct"/>
                  <w:vAlign w:val="center"/>
                </w:tcPr>
                <w:p w14:paraId="632F634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right="210" w:rightChars="100"/>
                    <w:jc w:val="center"/>
                    <w:textAlignment w:val="auto"/>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为本招标项目的招标人</w:t>
                  </w:r>
                </w:p>
              </w:tc>
            </w:tr>
            <w:tr w14:paraId="67D8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 w:type="pct"/>
                  <w:vAlign w:val="center"/>
                </w:tcPr>
                <w:p w14:paraId="7D0170D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center"/>
                    <w:textAlignment w:val="auto"/>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2</w:t>
                  </w:r>
                </w:p>
              </w:tc>
              <w:tc>
                <w:tcPr>
                  <w:tcW w:w="2465" w:type="pct"/>
                  <w:vAlign w:val="center"/>
                </w:tcPr>
                <w:p w14:paraId="52EA9A7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right="210" w:rightChars="100"/>
                    <w:jc w:val="center"/>
                    <w:textAlignment w:val="auto"/>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rPr>
                    <w:t>韶关市君信招标代理有限公司</w:t>
                  </w:r>
                </w:p>
              </w:tc>
              <w:tc>
                <w:tcPr>
                  <w:tcW w:w="2051" w:type="pct"/>
                  <w:vAlign w:val="center"/>
                </w:tcPr>
                <w:p w14:paraId="1CF7505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right="210" w:rightChars="100"/>
                    <w:jc w:val="center"/>
                    <w:textAlignment w:val="auto"/>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为本招标项目的招标代理机构</w:t>
                  </w:r>
                </w:p>
              </w:tc>
            </w:tr>
            <w:tr w14:paraId="4F46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 w:type="pct"/>
                  <w:vAlign w:val="center"/>
                </w:tcPr>
                <w:p w14:paraId="2559169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center"/>
                    <w:textAlignment w:val="auto"/>
                    <w:rPr>
                      <w:rFonts w:hint="default"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3</w:t>
                  </w:r>
                </w:p>
              </w:tc>
              <w:tc>
                <w:tcPr>
                  <w:tcW w:w="2465" w:type="pct"/>
                  <w:vAlign w:val="center"/>
                </w:tcPr>
                <w:p w14:paraId="451CBF8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right="210" w:rightChars="10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瑞博电力有限公司</w:t>
                  </w:r>
                </w:p>
              </w:tc>
              <w:tc>
                <w:tcPr>
                  <w:tcW w:w="2051" w:type="pct"/>
                  <w:vAlign w:val="center"/>
                </w:tcPr>
                <w:p w14:paraId="68A86E7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right="210" w:rightChars="100"/>
                    <w:jc w:val="center"/>
                    <w:textAlignment w:val="auto"/>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为本项目的设计单位</w:t>
                  </w:r>
                </w:p>
              </w:tc>
            </w:tr>
            <w:tr w14:paraId="3AB9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 w:type="pct"/>
                  <w:vAlign w:val="center"/>
                </w:tcPr>
                <w:p w14:paraId="19123B2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center"/>
                    <w:textAlignment w:val="auto"/>
                    <w:rPr>
                      <w:rFonts w:hint="default"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4</w:t>
                  </w:r>
                </w:p>
              </w:tc>
              <w:tc>
                <w:tcPr>
                  <w:tcW w:w="2465" w:type="pct"/>
                  <w:vAlign w:val="center"/>
                </w:tcPr>
                <w:p w14:paraId="588F1CB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right="210" w:rightChars="10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广东省电信规划设计院有限公司</w:t>
                  </w:r>
                </w:p>
              </w:tc>
              <w:tc>
                <w:tcPr>
                  <w:tcW w:w="2051" w:type="pct"/>
                  <w:vAlign w:val="center"/>
                </w:tcPr>
                <w:p w14:paraId="1ABBA51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right="210" w:rightChars="100"/>
                    <w:jc w:val="center"/>
                    <w:textAlignment w:val="auto"/>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为本项目的可研编制单位</w:t>
                  </w:r>
                </w:p>
              </w:tc>
            </w:tr>
            <w:tr w14:paraId="2255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 w:type="pct"/>
                  <w:vAlign w:val="center"/>
                </w:tcPr>
                <w:p w14:paraId="45252B2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center"/>
                    <w:textAlignment w:val="auto"/>
                    <w:rPr>
                      <w:rFonts w:hint="default"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5</w:t>
                  </w:r>
                </w:p>
              </w:tc>
              <w:tc>
                <w:tcPr>
                  <w:tcW w:w="2465" w:type="pct"/>
                  <w:vAlign w:val="center"/>
                </w:tcPr>
                <w:p w14:paraId="03043BA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right="210" w:rightChars="10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世源科技工程有限公司</w:t>
                  </w:r>
                </w:p>
              </w:tc>
              <w:tc>
                <w:tcPr>
                  <w:tcW w:w="2051" w:type="pct"/>
                  <w:vAlign w:val="center"/>
                </w:tcPr>
                <w:p w14:paraId="6C00A5A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right="210" w:rightChars="100"/>
                    <w:jc w:val="center"/>
                    <w:textAlignment w:val="auto"/>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为本项目的概算编制单位</w:t>
                  </w:r>
                </w:p>
              </w:tc>
            </w:tr>
            <w:tr w14:paraId="741A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 w:type="pct"/>
                  <w:vAlign w:val="center"/>
                </w:tcPr>
                <w:p w14:paraId="490011A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center"/>
                    <w:textAlignment w:val="auto"/>
                    <w:rPr>
                      <w:rFonts w:hint="default"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6</w:t>
                  </w:r>
                </w:p>
              </w:tc>
              <w:tc>
                <w:tcPr>
                  <w:tcW w:w="2465" w:type="pct"/>
                  <w:vAlign w:val="center"/>
                </w:tcPr>
                <w:p w14:paraId="6D6117C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right="210" w:rightChars="10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广东至衡工程管理有限公司</w:t>
                  </w:r>
                </w:p>
              </w:tc>
              <w:tc>
                <w:tcPr>
                  <w:tcW w:w="2051" w:type="pct"/>
                  <w:vAlign w:val="center"/>
                </w:tcPr>
                <w:p w14:paraId="4AD9452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right="210" w:rightChars="100"/>
                    <w:jc w:val="center"/>
                    <w:textAlignment w:val="auto"/>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为本项目的造价咨询单位</w:t>
                  </w:r>
                </w:p>
              </w:tc>
            </w:tr>
            <w:tr w14:paraId="620F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 w:type="pct"/>
                  <w:vAlign w:val="center"/>
                </w:tcPr>
                <w:p w14:paraId="632180C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center"/>
                    <w:textAlignment w:val="auto"/>
                    <w:rPr>
                      <w:rFonts w:hint="default"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7</w:t>
                  </w:r>
                </w:p>
              </w:tc>
              <w:tc>
                <w:tcPr>
                  <w:tcW w:w="2465" w:type="pct"/>
                  <w:vAlign w:val="center"/>
                </w:tcPr>
                <w:p w14:paraId="5753DC6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right="210" w:rightChars="10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公诚管理咨询有限公司</w:t>
                  </w:r>
                </w:p>
              </w:tc>
              <w:tc>
                <w:tcPr>
                  <w:tcW w:w="2051" w:type="pct"/>
                  <w:vAlign w:val="center"/>
                </w:tcPr>
                <w:p w14:paraId="073F7BA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right="210" w:rightChars="100"/>
                    <w:jc w:val="center"/>
                    <w:textAlignment w:val="auto"/>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为本项目的监理单位</w:t>
                  </w:r>
                </w:p>
              </w:tc>
            </w:tr>
          </w:tbl>
          <w:p w14:paraId="73556454">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5．其他要求</w:t>
            </w:r>
          </w:p>
          <w:p w14:paraId="6258D51E">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210" w:firstLineChars="10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357E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078CE7EC">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27</w:t>
            </w:r>
          </w:p>
        </w:tc>
        <w:tc>
          <w:tcPr>
            <w:tcW w:w="1942" w:type="dxa"/>
            <w:vAlign w:val="center"/>
          </w:tcPr>
          <w:p w14:paraId="61DFCC43">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投标有效期</w:t>
            </w:r>
          </w:p>
        </w:tc>
        <w:tc>
          <w:tcPr>
            <w:tcW w:w="7574" w:type="dxa"/>
            <w:vAlign w:val="center"/>
          </w:tcPr>
          <w:p w14:paraId="04DB460F">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本次招标的投标有效期为</w:t>
            </w:r>
            <w:r>
              <w:rPr>
                <w:rFonts w:hint="eastAsia" w:ascii="宋体" w:hAnsi="宋体" w:eastAsia="宋体" w:cs="宋体"/>
                <w:snapToGrid w:val="0"/>
                <w:color w:val="auto"/>
                <w:spacing w:val="0"/>
                <w:kern w:val="0"/>
                <w:sz w:val="21"/>
                <w:szCs w:val="21"/>
                <w:highlight w:val="none"/>
                <w:u w:val="single"/>
                <w:lang w:eastAsia="zh-CN"/>
              </w:rPr>
              <w:t>90</w:t>
            </w:r>
            <w:r>
              <w:rPr>
                <w:rFonts w:hint="eastAsia" w:ascii="宋体" w:hAnsi="宋体" w:eastAsia="宋体" w:cs="宋体"/>
                <w:snapToGrid w:val="0"/>
                <w:color w:val="auto"/>
                <w:spacing w:val="0"/>
                <w:kern w:val="0"/>
                <w:sz w:val="21"/>
                <w:szCs w:val="21"/>
                <w:highlight w:val="none"/>
                <w:lang w:eastAsia="zh-CN"/>
              </w:rPr>
              <w:t>个日历天。</w:t>
            </w:r>
          </w:p>
        </w:tc>
      </w:tr>
      <w:tr w14:paraId="2A05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7EC6C4D1">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205"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28</w:t>
            </w:r>
          </w:p>
        </w:tc>
        <w:tc>
          <w:tcPr>
            <w:tcW w:w="1942" w:type="dxa"/>
            <w:vAlign w:val="center"/>
          </w:tcPr>
          <w:p w14:paraId="1E577482">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投标文件组成</w:t>
            </w:r>
          </w:p>
        </w:tc>
        <w:tc>
          <w:tcPr>
            <w:tcW w:w="7574" w:type="dxa"/>
            <w:vAlign w:val="center"/>
          </w:tcPr>
          <w:p w14:paraId="5A9A57EA">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投标文件包括商务标书、经济标书、施工组织设计、</w:t>
            </w:r>
            <w:r>
              <w:rPr>
                <w:rFonts w:hint="eastAsia" w:ascii="宋体" w:hAnsi="宋体" w:eastAsia="宋体" w:cs="宋体"/>
                <w:snapToGrid w:val="0"/>
                <w:color w:val="auto"/>
                <w:spacing w:val="0"/>
                <w:kern w:val="0"/>
                <w:sz w:val="21"/>
                <w:szCs w:val="21"/>
                <w:highlight w:val="none"/>
                <w:lang w:val="en-US" w:eastAsia="zh-CN"/>
              </w:rPr>
              <w:t>定标文件四</w:t>
            </w:r>
            <w:r>
              <w:rPr>
                <w:rFonts w:hint="eastAsia" w:ascii="宋体" w:hAnsi="宋体" w:eastAsia="宋体" w:cs="宋体"/>
                <w:snapToGrid w:val="0"/>
                <w:color w:val="auto"/>
                <w:spacing w:val="0"/>
                <w:kern w:val="0"/>
                <w:sz w:val="21"/>
                <w:szCs w:val="21"/>
                <w:highlight w:val="none"/>
                <w:lang w:eastAsia="zh-CN"/>
              </w:rPr>
              <w:t>个分册。</w:t>
            </w:r>
          </w:p>
        </w:tc>
      </w:tr>
      <w:tr w14:paraId="07AA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1A52F3BB">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205"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29</w:t>
            </w:r>
          </w:p>
        </w:tc>
        <w:tc>
          <w:tcPr>
            <w:tcW w:w="1942" w:type="dxa"/>
            <w:vAlign w:val="center"/>
          </w:tcPr>
          <w:p w14:paraId="30AADBDC">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施工组织设计评审方式</w:t>
            </w:r>
          </w:p>
        </w:tc>
        <w:tc>
          <w:tcPr>
            <w:tcW w:w="7574" w:type="dxa"/>
            <w:vAlign w:val="center"/>
          </w:tcPr>
          <w:p w14:paraId="5EFF6A72">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本次招标施工组织设计</w:t>
            </w:r>
            <w:r>
              <w:rPr>
                <w:rFonts w:hint="eastAsia" w:ascii="宋体" w:hAnsi="宋体" w:eastAsia="宋体" w:cs="宋体"/>
                <w:snapToGrid w:val="0"/>
                <w:color w:val="auto"/>
                <w:spacing w:val="0"/>
                <w:kern w:val="0"/>
                <w:sz w:val="21"/>
                <w:szCs w:val="21"/>
                <w:highlight w:val="none"/>
                <w:u w:val="single"/>
                <w:lang w:eastAsia="zh-CN"/>
              </w:rPr>
              <w:t xml:space="preserve"> 不采用 </w:t>
            </w:r>
            <w:r>
              <w:rPr>
                <w:rFonts w:hint="eastAsia" w:ascii="宋体" w:hAnsi="宋体" w:eastAsia="宋体" w:cs="宋体"/>
                <w:snapToGrid w:val="0"/>
                <w:color w:val="auto"/>
                <w:spacing w:val="0"/>
                <w:kern w:val="0"/>
                <w:sz w:val="21"/>
                <w:szCs w:val="21"/>
                <w:highlight w:val="none"/>
                <w:lang w:eastAsia="zh-CN"/>
              </w:rPr>
              <w:t>“暗标”方式进行评审。</w:t>
            </w:r>
          </w:p>
        </w:tc>
      </w:tr>
      <w:tr w14:paraId="403A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7" w:hRule="atLeast"/>
        </w:trPr>
        <w:tc>
          <w:tcPr>
            <w:tcW w:w="582" w:type="dxa"/>
            <w:vAlign w:val="center"/>
          </w:tcPr>
          <w:p w14:paraId="763BBE38">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209"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30</w:t>
            </w:r>
          </w:p>
        </w:tc>
        <w:tc>
          <w:tcPr>
            <w:tcW w:w="1942" w:type="dxa"/>
            <w:vAlign w:val="center"/>
          </w:tcPr>
          <w:p w14:paraId="424EF029">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eastAsia="zh-CN"/>
              </w:rPr>
              <w:t>评标委员会</w:t>
            </w:r>
            <w:r>
              <w:rPr>
                <w:rFonts w:hint="eastAsia" w:ascii="宋体" w:hAnsi="宋体" w:eastAsia="宋体" w:cs="宋体"/>
                <w:snapToGrid w:val="0"/>
                <w:color w:val="auto"/>
                <w:spacing w:val="0"/>
                <w:kern w:val="0"/>
                <w:sz w:val="21"/>
                <w:szCs w:val="21"/>
                <w:highlight w:val="none"/>
                <w:lang w:val="en-US" w:eastAsia="zh-CN"/>
              </w:rPr>
              <w:t>及定标委员会</w:t>
            </w:r>
          </w:p>
        </w:tc>
        <w:tc>
          <w:tcPr>
            <w:tcW w:w="7574" w:type="dxa"/>
            <w:vAlign w:val="center"/>
          </w:tcPr>
          <w:p w14:paraId="752A30AE">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评标委员会由</w:t>
            </w:r>
            <w:r>
              <w:rPr>
                <w:rFonts w:hint="eastAsia" w:ascii="宋体" w:hAnsi="宋体" w:eastAsia="宋体" w:cs="宋体"/>
                <w:snapToGrid w:val="0"/>
                <w:color w:val="auto"/>
                <w:spacing w:val="0"/>
                <w:kern w:val="0"/>
                <w:sz w:val="21"/>
                <w:szCs w:val="21"/>
                <w:highlight w:val="none"/>
                <w:u w:val="single"/>
                <w:lang w:eastAsia="zh-CN"/>
              </w:rPr>
              <w:t xml:space="preserve"> 5 </w:t>
            </w:r>
            <w:r>
              <w:rPr>
                <w:rFonts w:hint="eastAsia" w:ascii="宋体" w:hAnsi="宋体" w:eastAsia="宋体" w:cs="宋体"/>
                <w:snapToGrid w:val="0"/>
                <w:color w:val="auto"/>
                <w:spacing w:val="0"/>
                <w:kern w:val="0"/>
                <w:sz w:val="21"/>
                <w:szCs w:val="21"/>
                <w:highlight w:val="none"/>
                <w:lang w:eastAsia="zh-CN"/>
              </w:rPr>
              <w:t>人组成，其中招标人代表</w:t>
            </w:r>
            <w:r>
              <w:rPr>
                <w:rFonts w:hint="eastAsia" w:ascii="宋体" w:hAnsi="宋体" w:eastAsia="宋体" w:cs="宋体"/>
                <w:snapToGrid w:val="0"/>
                <w:color w:val="auto"/>
                <w:spacing w:val="0"/>
                <w:kern w:val="0"/>
                <w:sz w:val="21"/>
                <w:szCs w:val="21"/>
                <w:highlight w:val="none"/>
                <w:u w:val="single"/>
                <w:lang w:eastAsia="zh-CN"/>
              </w:rPr>
              <w:t xml:space="preserve"> </w:t>
            </w:r>
            <w:r>
              <w:rPr>
                <w:rFonts w:hint="eastAsia" w:ascii="宋体" w:hAnsi="宋体" w:eastAsia="宋体" w:cs="宋体"/>
                <w:snapToGrid w:val="0"/>
                <w:color w:val="auto"/>
                <w:spacing w:val="0"/>
                <w:kern w:val="0"/>
                <w:sz w:val="21"/>
                <w:szCs w:val="21"/>
                <w:highlight w:val="none"/>
                <w:u w:val="single"/>
                <w:lang w:val="en-US" w:eastAsia="zh-CN"/>
              </w:rPr>
              <w:t>1</w:t>
            </w:r>
            <w:r>
              <w:rPr>
                <w:rFonts w:hint="eastAsia" w:ascii="宋体" w:hAnsi="宋体" w:eastAsia="宋体" w:cs="宋体"/>
                <w:snapToGrid w:val="0"/>
                <w:color w:val="auto"/>
                <w:spacing w:val="0"/>
                <w:kern w:val="0"/>
                <w:sz w:val="21"/>
                <w:szCs w:val="21"/>
                <w:highlight w:val="none"/>
                <w:u w:val="single"/>
                <w:lang w:eastAsia="zh-CN"/>
              </w:rPr>
              <w:t xml:space="preserve"> </w:t>
            </w:r>
            <w:r>
              <w:rPr>
                <w:rFonts w:hint="eastAsia" w:ascii="宋体" w:hAnsi="宋体" w:eastAsia="宋体" w:cs="宋体"/>
                <w:snapToGrid w:val="0"/>
                <w:color w:val="auto"/>
                <w:spacing w:val="0"/>
                <w:kern w:val="0"/>
                <w:sz w:val="21"/>
                <w:szCs w:val="21"/>
                <w:highlight w:val="none"/>
                <w:lang w:eastAsia="zh-CN"/>
              </w:rPr>
              <w:t>人，专家</w:t>
            </w:r>
            <w:r>
              <w:rPr>
                <w:rFonts w:hint="eastAsia" w:ascii="宋体" w:hAnsi="宋体" w:eastAsia="宋体" w:cs="宋体"/>
                <w:snapToGrid w:val="0"/>
                <w:color w:val="auto"/>
                <w:spacing w:val="0"/>
                <w:kern w:val="0"/>
                <w:sz w:val="21"/>
                <w:szCs w:val="21"/>
                <w:highlight w:val="none"/>
                <w:u w:val="single"/>
                <w:lang w:eastAsia="zh-CN"/>
              </w:rPr>
              <w:t xml:space="preserve"> </w:t>
            </w:r>
            <w:r>
              <w:rPr>
                <w:rFonts w:hint="eastAsia" w:ascii="宋体" w:hAnsi="宋体" w:eastAsia="宋体" w:cs="宋体"/>
                <w:snapToGrid w:val="0"/>
                <w:color w:val="auto"/>
                <w:spacing w:val="0"/>
                <w:kern w:val="0"/>
                <w:sz w:val="21"/>
                <w:szCs w:val="21"/>
                <w:highlight w:val="none"/>
                <w:u w:val="single"/>
                <w:lang w:val="en-US" w:eastAsia="zh-CN"/>
              </w:rPr>
              <w:t>4</w:t>
            </w:r>
            <w:r>
              <w:rPr>
                <w:rFonts w:hint="eastAsia" w:ascii="宋体" w:hAnsi="宋体" w:eastAsia="宋体" w:cs="宋体"/>
                <w:snapToGrid w:val="0"/>
                <w:color w:val="auto"/>
                <w:spacing w:val="0"/>
                <w:kern w:val="0"/>
                <w:sz w:val="21"/>
                <w:szCs w:val="21"/>
                <w:highlight w:val="none"/>
                <w:u w:val="single"/>
                <w:lang w:eastAsia="zh-CN"/>
              </w:rPr>
              <w:t xml:space="preserve"> </w:t>
            </w:r>
            <w:r>
              <w:rPr>
                <w:rFonts w:hint="eastAsia" w:ascii="宋体" w:hAnsi="宋体" w:eastAsia="宋体" w:cs="宋体"/>
                <w:snapToGrid w:val="0"/>
                <w:color w:val="auto"/>
                <w:spacing w:val="0"/>
                <w:kern w:val="0"/>
                <w:sz w:val="21"/>
                <w:szCs w:val="21"/>
                <w:highlight w:val="none"/>
                <w:lang w:eastAsia="zh-CN"/>
              </w:rPr>
              <w:t>人。专家从广东省综合评标评审专家库</w:t>
            </w:r>
            <w:r>
              <w:rPr>
                <w:rFonts w:hint="eastAsia" w:ascii="宋体" w:hAnsi="宋体" w:eastAsia="宋体" w:cs="宋体"/>
                <w:snapToGrid w:val="0"/>
                <w:color w:val="auto"/>
                <w:spacing w:val="0"/>
                <w:kern w:val="0"/>
                <w:sz w:val="21"/>
                <w:szCs w:val="21"/>
                <w:highlight w:val="none"/>
                <w:u w:val="single"/>
                <w:lang w:eastAsia="zh-CN"/>
              </w:rPr>
              <w:t>（韶关区域）</w:t>
            </w:r>
            <w:r>
              <w:rPr>
                <w:rFonts w:hint="eastAsia" w:ascii="宋体" w:hAnsi="宋体" w:eastAsia="宋体" w:cs="宋体"/>
                <w:snapToGrid w:val="0"/>
                <w:color w:val="auto"/>
                <w:spacing w:val="0"/>
                <w:kern w:val="0"/>
                <w:sz w:val="21"/>
                <w:szCs w:val="21"/>
                <w:highlight w:val="none"/>
                <w:lang w:eastAsia="zh-CN"/>
              </w:rPr>
              <w:t>中随机抽取，其中技术类专家</w:t>
            </w:r>
            <w:r>
              <w:rPr>
                <w:rFonts w:hint="eastAsia" w:ascii="宋体" w:hAnsi="宋体" w:eastAsia="宋体" w:cs="宋体"/>
                <w:snapToGrid w:val="0"/>
                <w:color w:val="auto"/>
                <w:spacing w:val="0"/>
                <w:kern w:val="0"/>
                <w:sz w:val="21"/>
                <w:szCs w:val="21"/>
                <w:highlight w:val="none"/>
                <w:u w:val="single"/>
                <w:lang w:eastAsia="zh-CN"/>
              </w:rPr>
              <w:t xml:space="preserve"> 3 </w:t>
            </w:r>
            <w:r>
              <w:rPr>
                <w:rFonts w:hint="eastAsia" w:ascii="宋体" w:hAnsi="宋体" w:eastAsia="宋体" w:cs="宋体"/>
                <w:snapToGrid w:val="0"/>
                <w:color w:val="auto"/>
                <w:spacing w:val="0"/>
                <w:kern w:val="0"/>
                <w:sz w:val="21"/>
                <w:szCs w:val="21"/>
                <w:highlight w:val="none"/>
                <w:lang w:eastAsia="zh-CN"/>
              </w:rPr>
              <w:t>人，经济类专家</w:t>
            </w:r>
            <w:r>
              <w:rPr>
                <w:rFonts w:hint="eastAsia" w:ascii="宋体" w:hAnsi="宋体" w:eastAsia="宋体" w:cs="宋体"/>
                <w:snapToGrid w:val="0"/>
                <w:color w:val="auto"/>
                <w:spacing w:val="0"/>
                <w:kern w:val="0"/>
                <w:sz w:val="21"/>
                <w:szCs w:val="21"/>
                <w:highlight w:val="none"/>
                <w:u w:val="single"/>
                <w:lang w:eastAsia="zh-CN"/>
              </w:rPr>
              <w:t xml:space="preserve"> </w:t>
            </w:r>
            <w:r>
              <w:rPr>
                <w:rFonts w:hint="eastAsia" w:ascii="宋体" w:hAnsi="宋体" w:eastAsia="宋体" w:cs="宋体"/>
                <w:snapToGrid w:val="0"/>
                <w:color w:val="auto"/>
                <w:spacing w:val="0"/>
                <w:kern w:val="0"/>
                <w:sz w:val="21"/>
                <w:szCs w:val="21"/>
                <w:highlight w:val="none"/>
                <w:u w:val="single"/>
                <w:lang w:val="en-US" w:eastAsia="zh-CN"/>
              </w:rPr>
              <w:t>1</w:t>
            </w:r>
            <w:r>
              <w:rPr>
                <w:rFonts w:hint="eastAsia" w:ascii="宋体" w:hAnsi="宋体" w:eastAsia="宋体" w:cs="宋体"/>
                <w:snapToGrid w:val="0"/>
                <w:color w:val="auto"/>
                <w:spacing w:val="0"/>
                <w:kern w:val="0"/>
                <w:sz w:val="21"/>
                <w:szCs w:val="21"/>
                <w:highlight w:val="none"/>
                <w:u w:val="single"/>
                <w:lang w:eastAsia="zh-CN"/>
              </w:rPr>
              <w:t xml:space="preserve"> </w:t>
            </w:r>
            <w:r>
              <w:rPr>
                <w:rFonts w:hint="eastAsia" w:ascii="宋体" w:hAnsi="宋体" w:eastAsia="宋体" w:cs="宋体"/>
                <w:snapToGrid w:val="0"/>
                <w:color w:val="auto"/>
                <w:spacing w:val="0"/>
                <w:kern w:val="0"/>
                <w:sz w:val="21"/>
                <w:szCs w:val="21"/>
                <w:highlight w:val="none"/>
                <w:lang w:eastAsia="zh-CN"/>
              </w:rPr>
              <w:t>人。</w:t>
            </w:r>
            <w:r>
              <w:rPr>
                <w:rFonts w:hint="eastAsia" w:ascii="宋体" w:hAnsi="宋体" w:eastAsia="宋体" w:cs="宋体"/>
                <w:snapToGrid w:val="0"/>
                <w:color w:val="auto"/>
                <w:spacing w:val="0"/>
                <w:kern w:val="0"/>
                <w:sz w:val="21"/>
                <w:szCs w:val="21"/>
                <w:highlight w:val="none"/>
                <w:lang w:eastAsia="zh-CN"/>
              </w:rPr>
              <w:br w:type="textWrapping"/>
            </w:r>
            <w:r>
              <w:rPr>
                <w:rFonts w:hint="eastAsia" w:ascii="宋体" w:hAnsi="宋体" w:eastAsia="宋体" w:cs="宋体"/>
                <w:snapToGrid w:val="0"/>
                <w:color w:val="auto"/>
                <w:spacing w:val="0"/>
                <w:kern w:val="0"/>
                <w:sz w:val="21"/>
                <w:szCs w:val="21"/>
                <w:highlight w:val="none"/>
                <w:lang w:val="en-US" w:eastAsia="zh-CN"/>
              </w:rPr>
              <w:t>本</w:t>
            </w:r>
            <w:r>
              <w:rPr>
                <w:rFonts w:hint="eastAsia" w:ascii="宋体" w:hAnsi="宋体" w:eastAsia="宋体" w:cs="宋体"/>
                <w:snapToGrid w:val="0"/>
                <w:color w:val="auto"/>
                <w:spacing w:val="0"/>
                <w:kern w:val="0"/>
                <w:sz w:val="21"/>
                <w:szCs w:val="21"/>
                <w:highlight w:val="none"/>
                <w:lang w:eastAsia="zh-CN"/>
              </w:rPr>
              <w:t>项目定标委员会组成人员为</w:t>
            </w:r>
            <w:r>
              <w:rPr>
                <w:rFonts w:hint="eastAsia" w:ascii="宋体" w:hAnsi="宋体" w:eastAsia="宋体" w:cs="宋体"/>
                <w:snapToGrid w:val="0"/>
                <w:color w:val="auto"/>
                <w:spacing w:val="0"/>
                <w:kern w:val="0"/>
                <w:sz w:val="21"/>
                <w:szCs w:val="21"/>
                <w:highlight w:val="none"/>
                <w:u w:val="single"/>
                <w:lang w:eastAsia="zh-CN"/>
              </w:rPr>
              <w:t xml:space="preserve"> </w:t>
            </w:r>
            <w:r>
              <w:rPr>
                <w:rFonts w:hint="eastAsia" w:ascii="宋体" w:hAnsi="宋体" w:eastAsia="宋体" w:cs="宋体"/>
                <w:snapToGrid w:val="0"/>
                <w:color w:val="auto"/>
                <w:spacing w:val="0"/>
                <w:kern w:val="0"/>
                <w:sz w:val="21"/>
                <w:szCs w:val="21"/>
                <w:highlight w:val="none"/>
                <w:u w:val="single"/>
                <w:lang w:val="en-US" w:eastAsia="zh-CN"/>
              </w:rPr>
              <w:t xml:space="preserve">7 </w:t>
            </w:r>
            <w:r>
              <w:rPr>
                <w:rFonts w:hint="eastAsia" w:ascii="宋体" w:hAnsi="宋体" w:eastAsia="宋体" w:cs="宋体"/>
                <w:snapToGrid w:val="0"/>
                <w:color w:val="auto"/>
                <w:spacing w:val="0"/>
                <w:kern w:val="0"/>
                <w:sz w:val="21"/>
                <w:szCs w:val="21"/>
                <w:highlight w:val="none"/>
                <w:lang w:eastAsia="zh-CN"/>
              </w:rPr>
              <w:t>人。</w:t>
            </w:r>
          </w:p>
        </w:tc>
      </w:tr>
      <w:tr w14:paraId="20E8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9" w:hRule="atLeast"/>
        </w:trPr>
        <w:tc>
          <w:tcPr>
            <w:tcW w:w="582" w:type="dxa"/>
            <w:vAlign w:val="center"/>
          </w:tcPr>
          <w:p w14:paraId="7707454F">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209"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31</w:t>
            </w:r>
          </w:p>
        </w:tc>
        <w:tc>
          <w:tcPr>
            <w:tcW w:w="1942" w:type="dxa"/>
            <w:vAlign w:val="center"/>
          </w:tcPr>
          <w:p w14:paraId="2C983EDC">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eastAsia="zh-CN"/>
              </w:rPr>
              <w:t>评标方法</w:t>
            </w:r>
            <w:r>
              <w:rPr>
                <w:rFonts w:hint="eastAsia" w:ascii="宋体" w:hAnsi="宋体" w:eastAsia="宋体" w:cs="宋体"/>
                <w:snapToGrid w:val="0"/>
                <w:color w:val="auto"/>
                <w:spacing w:val="0"/>
                <w:kern w:val="0"/>
                <w:sz w:val="21"/>
                <w:szCs w:val="21"/>
                <w:highlight w:val="none"/>
                <w:lang w:val="en-US" w:eastAsia="zh-CN"/>
              </w:rPr>
              <w:t>及定标方法</w:t>
            </w:r>
          </w:p>
        </w:tc>
        <w:tc>
          <w:tcPr>
            <w:tcW w:w="7574" w:type="dxa"/>
            <w:vAlign w:val="center"/>
          </w:tcPr>
          <w:p w14:paraId="522EB89F">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szCs w:val="21"/>
                <w:highlight w:val="none"/>
                <w:lang w:val="en-US" w:eastAsia="zh-CN"/>
              </w:rPr>
              <w:t>评标方法：</w:t>
            </w:r>
            <w:r>
              <w:rPr>
                <w:rFonts w:hint="eastAsia" w:ascii="宋体" w:hAnsi="宋体" w:eastAsia="宋体" w:cs="宋体"/>
                <w:snapToGrid w:val="0"/>
                <w:color w:val="auto"/>
                <w:spacing w:val="0"/>
                <w:kern w:val="0"/>
                <w:sz w:val="21"/>
                <w:szCs w:val="21"/>
                <w:highlight w:val="none"/>
                <w:lang w:eastAsia="zh-CN"/>
              </w:rPr>
              <w:t xml:space="preserve">□A＋B值评标法  </w:t>
            </w:r>
            <w:r>
              <w:rPr>
                <w:rFonts w:hint="eastAsia" w:ascii="宋体" w:hAnsi="宋体" w:eastAsia="宋体" w:cs="宋体"/>
                <w:snapToGrid w:val="0"/>
                <w:color w:val="auto"/>
                <w:spacing w:val="0"/>
                <w:kern w:val="0"/>
                <w:sz w:val="21"/>
                <w:szCs w:val="21"/>
                <w:highlight w:val="none"/>
                <w:lang w:val="en-US" w:eastAsia="zh-CN"/>
              </w:rPr>
              <w:t xml:space="preserve"> </w:t>
            </w:r>
            <w:r>
              <w:rPr>
                <w:rFonts w:hint="eastAsia" w:ascii="宋体" w:hAnsi="宋体" w:eastAsia="宋体" w:cs="宋体"/>
                <w:snapToGrid w:val="0"/>
                <w:color w:val="auto"/>
                <w:spacing w:val="0"/>
                <w:kern w:val="0"/>
                <w:sz w:val="21"/>
                <w:szCs w:val="21"/>
                <w:highlight w:val="none"/>
                <w:lang w:eastAsia="zh-CN"/>
              </w:rPr>
              <w:t>□经评审的最低投标价法   ☑综合评估法</w:t>
            </w:r>
            <w:r>
              <w:rPr>
                <w:rFonts w:hint="eastAsia" w:ascii="宋体" w:hAnsi="宋体" w:eastAsia="宋体" w:cs="宋体"/>
                <w:snapToGrid w:val="0"/>
                <w:color w:val="auto"/>
                <w:spacing w:val="0"/>
                <w:kern w:val="0"/>
                <w:sz w:val="21"/>
                <w:szCs w:val="21"/>
                <w:highlight w:val="none"/>
                <w:lang w:eastAsia="zh-CN"/>
              </w:rPr>
              <w:br w:type="textWrapping"/>
            </w:r>
            <w:r>
              <w:rPr>
                <w:rFonts w:hint="eastAsia" w:ascii="宋体" w:hAnsi="宋体" w:eastAsia="宋体" w:cs="宋体"/>
                <w:snapToGrid w:val="0"/>
                <w:color w:val="auto"/>
                <w:spacing w:val="0"/>
                <w:kern w:val="0"/>
                <w:sz w:val="21"/>
                <w:szCs w:val="21"/>
                <w:highlight w:val="none"/>
                <w:lang w:val="en-US" w:eastAsia="zh-CN"/>
              </w:rPr>
              <w:t>定标方法：</w:t>
            </w:r>
            <w:r>
              <w:rPr>
                <w:rFonts w:hint="eastAsia" w:ascii="宋体" w:hAnsi="宋体" w:eastAsia="宋体" w:cs="宋体"/>
                <w:snapToGrid w:val="0"/>
                <w:color w:val="auto"/>
                <w:spacing w:val="0"/>
                <w:kern w:val="0"/>
                <w:sz w:val="21"/>
                <w:szCs w:val="21"/>
                <w:highlight w:val="none"/>
                <w:lang w:eastAsia="zh-CN"/>
              </w:rPr>
              <w:t>☑票决数量法</w:t>
            </w:r>
            <w:r>
              <w:rPr>
                <w:rFonts w:hint="eastAsia" w:ascii="宋体" w:hAnsi="宋体" w:eastAsia="宋体" w:cs="宋体"/>
                <w:snapToGrid w:val="0"/>
                <w:color w:val="auto"/>
                <w:spacing w:val="0"/>
                <w:kern w:val="0"/>
                <w:sz w:val="21"/>
                <w:szCs w:val="21"/>
                <w:highlight w:val="none"/>
                <w:lang w:val="en-US" w:eastAsia="zh-CN"/>
              </w:rPr>
              <w:t xml:space="preserve">   </w:t>
            </w:r>
            <w:r>
              <w:rPr>
                <w:rFonts w:hint="eastAsia" w:ascii="宋体" w:hAnsi="宋体" w:eastAsia="宋体" w:cs="宋体"/>
                <w:snapToGrid w:val="0"/>
                <w:color w:val="auto"/>
                <w:spacing w:val="0"/>
                <w:kern w:val="0"/>
                <w:sz w:val="21"/>
                <w:szCs w:val="21"/>
                <w:highlight w:val="none"/>
                <w:lang w:eastAsia="zh-CN"/>
              </w:rPr>
              <w:t>□票决计分法</w:t>
            </w:r>
            <w:r>
              <w:rPr>
                <w:rFonts w:hint="eastAsia" w:ascii="宋体" w:hAnsi="宋体" w:eastAsia="宋体" w:cs="宋体"/>
                <w:snapToGrid w:val="0"/>
                <w:color w:val="auto"/>
                <w:spacing w:val="0"/>
                <w:kern w:val="0"/>
                <w:sz w:val="21"/>
                <w:szCs w:val="21"/>
                <w:highlight w:val="none"/>
                <w:lang w:val="en-US" w:eastAsia="zh-CN"/>
              </w:rPr>
              <w:t xml:space="preserve">   </w:t>
            </w:r>
            <w:r>
              <w:rPr>
                <w:rFonts w:hint="eastAsia" w:ascii="宋体" w:hAnsi="宋体" w:eastAsia="宋体" w:cs="宋体"/>
                <w:snapToGrid w:val="0"/>
                <w:color w:val="auto"/>
                <w:spacing w:val="0"/>
                <w:kern w:val="0"/>
                <w:sz w:val="21"/>
                <w:szCs w:val="21"/>
                <w:highlight w:val="none"/>
                <w:lang w:eastAsia="zh-CN"/>
              </w:rPr>
              <w:t>□集体议事法</w:t>
            </w:r>
            <w:r>
              <w:rPr>
                <w:rFonts w:hint="eastAsia" w:ascii="宋体" w:hAnsi="宋体" w:eastAsia="宋体" w:cs="宋体"/>
                <w:snapToGrid w:val="0"/>
                <w:color w:val="auto"/>
                <w:spacing w:val="0"/>
                <w:kern w:val="0"/>
                <w:sz w:val="21"/>
                <w:szCs w:val="21"/>
                <w:highlight w:val="none"/>
                <w:lang w:val="en-US" w:eastAsia="zh-CN"/>
              </w:rPr>
              <w:t xml:space="preserve">   </w:t>
            </w:r>
            <w:r>
              <w:rPr>
                <w:rFonts w:hint="eastAsia" w:ascii="宋体" w:hAnsi="宋体" w:eastAsia="宋体" w:cs="宋体"/>
                <w:snapToGrid w:val="0"/>
                <w:color w:val="auto"/>
                <w:spacing w:val="0"/>
                <w:kern w:val="0"/>
                <w:sz w:val="21"/>
                <w:szCs w:val="21"/>
                <w:highlight w:val="none"/>
                <w:lang w:eastAsia="zh-CN"/>
              </w:rPr>
              <w:t>□其他方法：</w:t>
            </w:r>
          </w:p>
        </w:tc>
      </w:tr>
      <w:tr w14:paraId="0A91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7A3DB861">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32</w:t>
            </w:r>
          </w:p>
        </w:tc>
        <w:tc>
          <w:tcPr>
            <w:tcW w:w="1942" w:type="dxa"/>
            <w:vAlign w:val="center"/>
          </w:tcPr>
          <w:p w14:paraId="558F3229">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招标文件要求提交的用于评审的证书、证件、证明原件</w:t>
            </w:r>
          </w:p>
        </w:tc>
        <w:tc>
          <w:tcPr>
            <w:tcW w:w="7574" w:type="dxa"/>
            <w:vAlign w:val="center"/>
          </w:tcPr>
          <w:p w14:paraId="5492F2D6">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投标人在提交用于评审的证书、证件、证明原件的，投标人应自行将所需原件密封于文件袋（箱）中，并自行准备两张“原件一览表”(详见格式十</w:t>
            </w:r>
            <w:r>
              <w:rPr>
                <w:rFonts w:hint="eastAsia" w:ascii="宋体" w:hAnsi="宋体" w:eastAsia="宋体" w:cs="宋体"/>
                <w:snapToGrid w:val="0"/>
                <w:color w:val="auto"/>
                <w:spacing w:val="0"/>
                <w:kern w:val="0"/>
                <w:sz w:val="21"/>
                <w:szCs w:val="21"/>
                <w:highlight w:val="none"/>
                <w:lang w:val="en-US" w:eastAsia="zh-CN"/>
              </w:rPr>
              <w:t>六</w:t>
            </w:r>
            <w:r>
              <w:rPr>
                <w:rFonts w:hint="eastAsia" w:ascii="宋体" w:hAnsi="宋体" w:eastAsia="宋体" w:cs="宋体"/>
                <w:snapToGrid w:val="0"/>
                <w:color w:val="auto"/>
                <w:spacing w:val="0"/>
                <w:kern w:val="0"/>
                <w:sz w:val="21"/>
                <w:szCs w:val="21"/>
                <w:highlight w:val="none"/>
                <w:lang w:eastAsia="zh-CN"/>
              </w:rPr>
              <w:t>，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0EB1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47A53896">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209" w:right="0"/>
              <w:jc w:val="center"/>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33</w:t>
            </w:r>
          </w:p>
        </w:tc>
        <w:tc>
          <w:tcPr>
            <w:tcW w:w="1942" w:type="dxa"/>
            <w:vAlign w:val="center"/>
          </w:tcPr>
          <w:p w14:paraId="061AFBC7">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val="en-US" w:eastAsia="zh-CN"/>
              </w:rPr>
              <w:t>招标代理费</w:t>
            </w:r>
          </w:p>
        </w:tc>
        <w:tc>
          <w:tcPr>
            <w:tcW w:w="7574" w:type="dxa"/>
            <w:vAlign w:val="center"/>
          </w:tcPr>
          <w:p w14:paraId="7F3BB46E">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color w:val="auto"/>
                <w:highlight w:val="none"/>
                <w:u w:val="none"/>
              </w:rPr>
              <w:t>本项目的招标代理费由中标人支付，该费用不再另行报价，由投标人在投标报价时综合考虑在内。</w:t>
            </w:r>
            <w:r>
              <w:rPr>
                <w:rFonts w:hint="eastAsia" w:ascii="宋体" w:hAnsi="宋体" w:eastAsia="宋体" w:cs="宋体"/>
                <w:color w:val="auto"/>
                <w:highlight w:val="none"/>
                <w:u w:val="none"/>
                <w:lang w:val="en-US" w:eastAsia="zh-CN"/>
              </w:rPr>
              <w:t>招标代理服务费</w:t>
            </w:r>
            <w:r>
              <w:rPr>
                <w:rFonts w:hint="eastAsia" w:ascii="宋体" w:hAnsi="宋体" w:eastAsia="宋体" w:cs="宋体"/>
                <w:color w:val="auto"/>
                <w:highlight w:val="none"/>
                <w:u w:val="none"/>
              </w:rPr>
              <w:t>按照集团《韶关城投公司建设项目专业服务价格及计算方法》招标代理费收费的计算，</w:t>
            </w:r>
            <w:r>
              <w:rPr>
                <w:rFonts w:hint="eastAsia" w:ascii="宋体" w:hAnsi="宋体" w:eastAsia="宋体" w:cs="宋体"/>
                <w:color w:val="auto"/>
                <w:highlight w:val="none"/>
                <w:u w:val="none"/>
                <w:lang w:val="en-US" w:eastAsia="zh-CN"/>
              </w:rPr>
              <w:t>中标价乘以相应的费率（100万以下费率1.0%，100万-500万费率0.4%，500万-1000万费率0.33%，按差额定率累进法计算），计算结果乘以0.8后为结算价（招标代理费不超过上限2.34万元）包干。</w:t>
            </w:r>
          </w:p>
        </w:tc>
      </w:tr>
      <w:tr w14:paraId="2C91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440CF9BF">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34</w:t>
            </w:r>
          </w:p>
        </w:tc>
        <w:tc>
          <w:tcPr>
            <w:tcW w:w="1942" w:type="dxa"/>
            <w:vAlign w:val="center"/>
          </w:tcPr>
          <w:p w14:paraId="7CD526D7">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招标人</w:t>
            </w:r>
          </w:p>
          <w:p w14:paraId="21214F78">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联系方式</w:t>
            </w:r>
          </w:p>
        </w:tc>
        <w:tc>
          <w:tcPr>
            <w:tcW w:w="7574" w:type="dxa"/>
            <w:vAlign w:val="center"/>
          </w:tcPr>
          <w:p w14:paraId="74381245">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rPr>
              <w:t>单位名称：</w:t>
            </w:r>
            <w:r>
              <w:rPr>
                <w:rFonts w:hint="eastAsia" w:ascii="宋体" w:hAnsi="宋体" w:eastAsia="宋体" w:cs="宋体"/>
                <w:snapToGrid w:val="0"/>
                <w:color w:val="auto"/>
                <w:spacing w:val="0"/>
                <w:kern w:val="0"/>
                <w:sz w:val="21"/>
                <w:highlight w:val="none"/>
                <w:lang w:val="en-US" w:eastAsia="zh-CN"/>
              </w:rPr>
              <w:t>广东韶关数据产业投资发展有限公司</w:t>
            </w:r>
          </w:p>
          <w:p w14:paraId="0FD856E9">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highlight w:val="none"/>
              </w:rPr>
            </w:pPr>
            <w:r>
              <w:rPr>
                <w:rFonts w:hint="eastAsia" w:ascii="宋体" w:hAnsi="宋体" w:eastAsia="宋体" w:cs="宋体"/>
                <w:snapToGrid w:val="0"/>
                <w:color w:val="auto"/>
                <w:spacing w:val="0"/>
                <w:kern w:val="0"/>
                <w:sz w:val="21"/>
                <w:highlight w:val="none"/>
              </w:rPr>
              <w:t>办公地址：韶关市武江区芙蓉新城韶州大道（滨江路）9号粤港澳大湾区数据应用产业园A栋3层001</w:t>
            </w:r>
          </w:p>
          <w:p w14:paraId="2D0F1D74">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rPr>
              <w:t>联系人（部门）：詹工</w:t>
            </w:r>
          </w:p>
          <w:p w14:paraId="7CAE24F9">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highlight w:val="none"/>
              </w:rPr>
              <w:t>联系电话：0751-6918380</w:t>
            </w:r>
          </w:p>
        </w:tc>
      </w:tr>
      <w:tr w14:paraId="06E3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2B14DF31">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35</w:t>
            </w:r>
          </w:p>
        </w:tc>
        <w:tc>
          <w:tcPr>
            <w:tcW w:w="1942" w:type="dxa"/>
            <w:vAlign w:val="center"/>
          </w:tcPr>
          <w:p w14:paraId="62660ABB">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招标代理机构</w:t>
            </w:r>
          </w:p>
          <w:p w14:paraId="7F6FCE84">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联系方式</w:t>
            </w:r>
          </w:p>
        </w:tc>
        <w:tc>
          <w:tcPr>
            <w:tcW w:w="7574" w:type="dxa"/>
            <w:vAlign w:val="center"/>
          </w:tcPr>
          <w:p w14:paraId="699F4682">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单位名称：</w:t>
            </w:r>
            <w:r>
              <w:rPr>
                <w:rFonts w:hint="eastAsia" w:ascii="宋体" w:hAnsi="宋体" w:eastAsia="宋体" w:cs="宋体"/>
                <w:snapToGrid w:val="0"/>
                <w:color w:val="auto"/>
                <w:spacing w:val="0"/>
                <w:kern w:val="0"/>
                <w:sz w:val="21"/>
                <w:szCs w:val="21"/>
                <w:highlight w:val="none"/>
                <w:lang w:val="en-US" w:eastAsia="zh-CN"/>
              </w:rPr>
              <w:t>韶关市君信招标代理有限公司</w:t>
            </w:r>
          </w:p>
          <w:p w14:paraId="1F509B19">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办公地址：</w:t>
            </w:r>
            <w:r>
              <w:rPr>
                <w:rFonts w:hint="eastAsia" w:ascii="宋体" w:hAnsi="宋体" w:eastAsia="宋体" w:cs="宋体"/>
                <w:snapToGrid w:val="0"/>
                <w:color w:val="auto"/>
                <w:spacing w:val="0"/>
                <w:kern w:val="0"/>
                <w:sz w:val="21"/>
                <w:szCs w:val="21"/>
                <w:highlight w:val="none"/>
                <w:lang w:val="en-US" w:eastAsia="zh-CN"/>
              </w:rPr>
              <w:t>韶关市浈江区金汇大道88号鑫金汇建材家居广场条铺二街2栋1楼125号</w:t>
            </w:r>
          </w:p>
          <w:p w14:paraId="7A666983">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联 系 人：梁工、巫工</w:t>
            </w:r>
          </w:p>
          <w:p w14:paraId="6FAD5F7B">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highlight w:val="none"/>
                <w:lang w:val="en-US" w:eastAsia="zh-CN"/>
              </w:rPr>
              <w:t>电    话：</w:t>
            </w:r>
            <w:r>
              <w:rPr>
                <w:rFonts w:hint="eastAsia" w:ascii="宋体" w:hAnsi="宋体" w:eastAsia="宋体" w:cs="宋体"/>
                <w:snapToGrid w:val="0"/>
                <w:color w:val="auto"/>
                <w:spacing w:val="0"/>
                <w:kern w:val="0"/>
                <w:sz w:val="21"/>
                <w:highlight w:val="none"/>
                <w:lang w:eastAsia="zh-CN"/>
              </w:rPr>
              <w:t>0751-8888552</w:t>
            </w:r>
          </w:p>
        </w:tc>
      </w:tr>
      <w:tr w14:paraId="4D05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6CB09BC9">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36</w:t>
            </w:r>
          </w:p>
        </w:tc>
        <w:tc>
          <w:tcPr>
            <w:tcW w:w="1942" w:type="dxa"/>
            <w:vAlign w:val="center"/>
          </w:tcPr>
          <w:p w14:paraId="2F1BBEDA">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交易场所联系方式</w:t>
            </w:r>
          </w:p>
        </w:tc>
        <w:tc>
          <w:tcPr>
            <w:tcW w:w="7574" w:type="dxa"/>
            <w:vAlign w:val="center"/>
          </w:tcPr>
          <w:p w14:paraId="4299AAB0">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单位名称：韶关市公共资源交易中心</w:t>
            </w:r>
          </w:p>
          <w:p w14:paraId="11F885B0">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办公地址：广东省韶关市武江区西联镇</w:t>
            </w:r>
          </w:p>
          <w:p w14:paraId="5C8B8615">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联系人（部门）：工程交易部</w:t>
            </w:r>
          </w:p>
          <w:p w14:paraId="4A742A2A">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210" w:leftChars="100" w:right="210" w:rightChars="100" w:firstLine="0" w:firstLineChars="0"/>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highlight w:val="none"/>
                <w:lang w:val="en-US" w:eastAsia="zh-CN"/>
              </w:rPr>
              <w:t>联系电话：0751-8633211</w:t>
            </w:r>
          </w:p>
        </w:tc>
      </w:tr>
      <w:tr w14:paraId="2B66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4238CDE1">
            <w:pPr>
              <w:keepNext w:val="0"/>
              <w:keepLines w:val="0"/>
              <w:pageBreakBefore w:val="0"/>
              <w:widowControl/>
              <w:suppressLineNumbers w:val="0"/>
              <w:kinsoku/>
              <w:wordWrap w:val="0"/>
              <w:overflowPunct/>
              <w:topLinePunct/>
              <w:bidi w:val="0"/>
              <w:snapToGrid w:val="0"/>
              <w:spacing w:before="0" w:beforeAutospacing="0" w:after="0" w:afterAutospacing="0" w:line="240" w:lineRule="auto"/>
              <w:ind w:left="0" w:right="0"/>
              <w:jc w:val="center"/>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37</w:t>
            </w:r>
          </w:p>
        </w:tc>
        <w:tc>
          <w:tcPr>
            <w:tcW w:w="1942" w:type="dxa"/>
            <w:vAlign w:val="center"/>
          </w:tcPr>
          <w:p w14:paraId="4C79801C">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行政监督部</w:t>
            </w:r>
          </w:p>
          <w:p w14:paraId="4B9BE519">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门联系方式</w:t>
            </w:r>
          </w:p>
        </w:tc>
        <w:tc>
          <w:tcPr>
            <w:tcW w:w="7574" w:type="dxa"/>
            <w:vAlign w:val="center"/>
          </w:tcPr>
          <w:p w14:paraId="27C8F7D2">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napToGrid w:val="0"/>
                <w:color w:val="auto"/>
                <w:kern w:val="0"/>
                <w:szCs w:val="24"/>
                <w:highlight w:val="none"/>
                <w:u w:val="none"/>
              </w:rPr>
            </w:pPr>
            <w:r>
              <w:rPr>
                <w:rFonts w:hint="eastAsia" w:ascii="宋体" w:hAnsi="宋体" w:eastAsia="宋体" w:cs="宋体"/>
                <w:snapToGrid w:val="0"/>
                <w:color w:val="auto"/>
                <w:kern w:val="0"/>
                <w:szCs w:val="24"/>
                <w:highlight w:val="none"/>
                <w:u w:val="none"/>
              </w:rPr>
              <w:t>单位名称：韶关市住房和城乡建设管理局</w:t>
            </w:r>
          </w:p>
          <w:p w14:paraId="1BE9C91D">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napToGrid w:val="0"/>
                <w:color w:val="auto"/>
                <w:kern w:val="0"/>
                <w:szCs w:val="24"/>
                <w:highlight w:val="none"/>
                <w:u w:val="none"/>
              </w:rPr>
            </w:pPr>
            <w:r>
              <w:rPr>
                <w:rFonts w:hint="eastAsia" w:ascii="宋体" w:hAnsi="宋体" w:eastAsia="宋体" w:cs="宋体"/>
                <w:snapToGrid w:val="0"/>
                <w:color w:val="auto"/>
                <w:kern w:val="0"/>
                <w:szCs w:val="24"/>
                <w:highlight w:val="none"/>
                <w:u w:val="none"/>
              </w:rPr>
              <w:t>办公地址：广东省韶关市武江区芙蓉东路5号</w:t>
            </w:r>
          </w:p>
          <w:p w14:paraId="57521B98">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napToGrid w:val="0"/>
                <w:color w:val="auto"/>
                <w:kern w:val="0"/>
                <w:szCs w:val="24"/>
                <w:highlight w:val="none"/>
                <w:u w:val="none"/>
              </w:rPr>
            </w:pPr>
            <w:r>
              <w:rPr>
                <w:rFonts w:hint="eastAsia" w:ascii="宋体" w:hAnsi="宋体" w:eastAsia="宋体" w:cs="宋体"/>
                <w:snapToGrid w:val="0"/>
                <w:color w:val="auto"/>
                <w:kern w:val="0"/>
                <w:szCs w:val="24"/>
                <w:highlight w:val="none"/>
                <w:u w:val="none"/>
              </w:rPr>
              <w:t>联系人（部门）：建筑业市场管理科</w:t>
            </w:r>
          </w:p>
          <w:p w14:paraId="55D84EA8">
            <w:pPr>
              <w:keepNext w:val="0"/>
              <w:keepLines w:val="0"/>
              <w:pageBreakBefore w:val="0"/>
              <w:widowControl/>
              <w:suppressLineNumbers w:val="0"/>
              <w:kinsoku/>
              <w:wordWrap w:val="0"/>
              <w:overflowPunct/>
              <w:topLinePunct/>
              <w:bidi w:val="0"/>
              <w:adjustRightInd w:val="0"/>
              <w:snapToGrid w:val="0"/>
              <w:spacing w:before="0" w:beforeAutospacing="0" w:after="0" w:afterAutospacing="0" w:line="240" w:lineRule="auto"/>
              <w:ind w:left="210" w:leftChars="100" w:right="210" w:rightChars="100" w:firstLine="0" w:firstLineChars="0"/>
              <w:jc w:val="both"/>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kern w:val="0"/>
                <w:szCs w:val="24"/>
                <w:highlight w:val="none"/>
                <w:u w:val="none"/>
              </w:rPr>
              <w:t>联系电话：0751-8892601</w:t>
            </w:r>
          </w:p>
        </w:tc>
      </w:tr>
    </w:tbl>
    <w:p w14:paraId="3338A8F8">
      <w:pPr>
        <w:keepNext w:val="0"/>
        <w:keepLines w:val="0"/>
        <w:pageBreakBefore w:val="0"/>
        <w:kinsoku/>
        <w:wordWrap w:val="0"/>
        <w:overflowPunct/>
        <w:topLinePunct/>
        <w:bidi w:val="0"/>
        <w:rPr>
          <w:rFonts w:hint="eastAsia" w:ascii="宋体" w:hAnsi="宋体" w:eastAsia="宋体" w:cs="宋体"/>
          <w:b/>
          <w:bCs/>
          <w:color w:val="auto"/>
          <w:spacing w:val="0"/>
          <w:sz w:val="24"/>
          <w:szCs w:val="24"/>
          <w:highlight w:val="none"/>
        </w:rPr>
      </w:pPr>
      <w:bookmarkStart w:id="10" w:name="bookmark115"/>
      <w:bookmarkEnd w:id="10"/>
      <w:r>
        <w:rPr>
          <w:rFonts w:hint="eastAsia" w:ascii="宋体" w:hAnsi="宋体" w:eastAsia="宋体" w:cs="宋体"/>
          <w:b/>
          <w:bCs/>
          <w:color w:val="auto"/>
          <w:spacing w:val="0"/>
          <w:sz w:val="24"/>
          <w:szCs w:val="24"/>
          <w:highlight w:val="none"/>
        </w:rPr>
        <w:br w:type="page"/>
      </w:r>
    </w:p>
    <w:p w14:paraId="02F63116">
      <w:pPr>
        <w:keepNext w:val="0"/>
        <w:keepLines w:val="0"/>
        <w:pageBreakBefore w:val="0"/>
        <w:kinsoku/>
        <w:wordWrap w:val="0"/>
        <w:overflowPunct/>
        <w:topLinePunct/>
        <w:bidi w:val="0"/>
        <w:spacing w:before="156" w:line="219" w:lineRule="auto"/>
        <w:ind w:left="17"/>
        <w:jc w:val="left"/>
        <w:outlineLvl w:val="1"/>
        <w:rPr>
          <w:rFonts w:hint="eastAsia" w:ascii="宋体" w:hAnsi="宋体" w:eastAsia="宋体" w:cs="宋体"/>
          <w:color w:val="auto"/>
          <w:spacing w:val="0"/>
          <w:highlight w:val="none"/>
        </w:rPr>
      </w:pPr>
      <w:bookmarkStart w:id="11" w:name="_Toc19987"/>
      <w:r>
        <w:rPr>
          <w:rFonts w:hint="eastAsia" w:ascii="宋体" w:hAnsi="宋体" w:eastAsia="宋体" w:cs="宋体"/>
          <w:b/>
          <w:bCs/>
          <w:color w:val="auto"/>
          <w:spacing w:val="0"/>
          <w:sz w:val="24"/>
          <w:szCs w:val="24"/>
          <w:highlight w:val="none"/>
        </w:rPr>
        <w:t>第二节 重要事项时间地点一览表</w:t>
      </w:r>
      <w:bookmarkEnd w:id="11"/>
    </w:p>
    <w:p w14:paraId="258D8492">
      <w:pPr>
        <w:pStyle w:val="6"/>
        <w:keepNext w:val="0"/>
        <w:keepLines w:val="0"/>
        <w:pageBreakBefore w:val="0"/>
        <w:kinsoku/>
        <w:wordWrap w:val="0"/>
        <w:overflowPunct/>
        <w:topLinePunct/>
        <w:bidi w:val="0"/>
        <w:rPr>
          <w:rFonts w:hint="eastAsia" w:ascii="宋体" w:hAnsi="宋体" w:eastAsia="宋体" w:cs="宋体"/>
          <w:color w:val="auto"/>
          <w:spacing w:val="0"/>
          <w:highlight w:val="none"/>
        </w:rPr>
      </w:pPr>
    </w:p>
    <w:tbl>
      <w:tblPr>
        <w:tblStyle w:val="16"/>
        <w:tblW w:w="905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1"/>
        <w:gridCol w:w="1300"/>
        <w:gridCol w:w="7338"/>
      </w:tblGrid>
      <w:tr w14:paraId="292FFE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3B935366">
            <w:pPr>
              <w:pStyle w:val="30"/>
              <w:keepNext w:val="0"/>
              <w:keepLines w:val="0"/>
              <w:pageBreakBefore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rPr>
              <w:t>1</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0CF3B8D5">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招标公告</w:t>
            </w:r>
          </w:p>
          <w:p w14:paraId="3BC5C1AA">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lang w:val="en-US" w:eastAsia="zh-CN" w:bidi="ar-SA"/>
              </w:rPr>
              <w:t>发布时间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4891958">
            <w:pPr>
              <w:keepNext w:val="0"/>
              <w:keepLines w:val="0"/>
              <w:pageBreakBefore w:val="0"/>
              <w:widowControl/>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kern w:val="0"/>
                <w:sz w:val="21"/>
                <w:szCs w:val="21"/>
                <w:highlight w:val="none"/>
                <w:u w:val="single"/>
                <w:lang w:val="en-US" w:eastAsia="zh-CN" w:bidi="ar-SA"/>
              </w:rPr>
              <w:t>2026</w:t>
            </w:r>
            <w:r>
              <w:rPr>
                <w:rFonts w:hint="eastAsia" w:ascii="宋体" w:hAnsi="宋体" w:eastAsia="宋体" w:cs="宋体"/>
                <w:color w:val="auto"/>
                <w:spacing w:val="0"/>
                <w:kern w:val="0"/>
                <w:sz w:val="21"/>
                <w:szCs w:val="21"/>
                <w:highlight w:val="none"/>
                <w:lang w:val="en-US" w:eastAsia="zh-CN" w:bidi="ar-SA"/>
              </w:rPr>
              <w:t>年</w:t>
            </w:r>
            <w:r>
              <w:rPr>
                <w:rFonts w:hint="eastAsia" w:ascii="宋体" w:hAnsi="宋体" w:eastAsia="宋体" w:cs="宋体"/>
                <w:color w:val="auto"/>
                <w:spacing w:val="0"/>
                <w:kern w:val="0"/>
                <w:sz w:val="21"/>
                <w:szCs w:val="21"/>
                <w:highlight w:val="none"/>
                <w:u w:val="single"/>
                <w:lang w:val="en-US" w:eastAsia="zh-CN" w:bidi="ar-SA"/>
              </w:rPr>
              <w:t xml:space="preserve"> 5 </w:t>
            </w:r>
            <w:r>
              <w:rPr>
                <w:rFonts w:hint="eastAsia" w:ascii="宋体" w:hAnsi="宋体" w:eastAsia="宋体" w:cs="宋体"/>
                <w:color w:val="auto"/>
                <w:spacing w:val="0"/>
                <w:kern w:val="0"/>
                <w:sz w:val="21"/>
                <w:szCs w:val="21"/>
                <w:highlight w:val="none"/>
                <w:lang w:val="en-US" w:eastAsia="zh-CN" w:bidi="ar-SA"/>
              </w:rPr>
              <w:t>月</w:t>
            </w:r>
            <w:r>
              <w:rPr>
                <w:rFonts w:hint="eastAsia" w:ascii="宋体" w:hAnsi="宋体" w:eastAsia="宋体" w:cs="宋体"/>
                <w:color w:val="auto"/>
                <w:spacing w:val="0"/>
                <w:kern w:val="0"/>
                <w:sz w:val="21"/>
                <w:szCs w:val="21"/>
                <w:highlight w:val="none"/>
                <w:u w:val="single"/>
                <w:lang w:val="en-US" w:eastAsia="zh-CN" w:bidi="ar-SA"/>
              </w:rPr>
              <w:t xml:space="preserve"> 13 </w:t>
            </w:r>
            <w:r>
              <w:rPr>
                <w:rFonts w:hint="eastAsia" w:ascii="宋体" w:hAnsi="宋体" w:eastAsia="宋体" w:cs="宋体"/>
                <w:color w:val="auto"/>
                <w:spacing w:val="0"/>
                <w:kern w:val="0"/>
                <w:sz w:val="21"/>
                <w:szCs w:val="21"/>
                <w:highlight w:val="none"/>
                <w:lang w:val="en-US" w:eastAsia="zh-CN" w:bidi="ar-SA"/>
              </w:rPr>
              <w:t>日</w:t>
            </w:r>
            <w:r>
              <w:rPr>
                <w:rFonts w:hint="eastAsia" w:ascii="宋体" w:hAnsi="宋体" w:eastAsia="宋体" w:cs="宋体"/>
                <w:color w:val="auto"/>
                <w:spacing w:val="0"/>
                <w:kern w:val="0"/>
                <w:sz w:val="21"/>
                <w:szCs w:val="21"/>
                <w:highlight w:val="none"/>
                <w:u w:val="single"/>
                <w:lang w:val="en-US" w:eastAsia="zh-CN" w:bidi="ar-SA"/>
              </w:rPr>
              <w:t xml:space="preserve"> 17 </w:t>
            </w:r>
            <w:r>
              <w:rPr>
                <w:rFonts w:hint="eastAsia" w:ascii="宋体" w:hAnsi="宋体" w:eastAsia="宋体" w:cs="宋体"/>
                <w:color w:val="auto"/>
                <w:spacing w:val="0"/>
                <w:kern w:val="0"/>
                <w:sz w:val="21"/>
                <w:szCs w:val="21"/>
                <w:highlight w:val="none"/>
                <w:lang w:val="en-US" w:eastAsia="zh-CN" w:bidi="ar-SA"/>
              </w:rPr>
              <w:t>时</w:t>
            </w:r>
            <w:r>
              <w:rPr>
                <w:rFonts w:hint="eastAsia" w:ascii="宋体" w:hAnsi="宋体" w:eastAsia="宋体" w:cs="宋体"/>
                <w:color w:val="auto"/>
                <w:spacing w:val="0"/>
                <w:kern w:val="0"/>
                <w:sz w:val="21"/>
                <w:szCs w:val="21"/>
                <w:highlight w:val="none"/>
                <w:u w:val="single"/>
                <w:lang w:val="en-US" w:eastAsia="zh-CN" w:bidi="ar-SA"/>
              </w:rPr>
              <w:t xml:space="preserve"> 00 </w:t>
            </w:r>
            <w:r>
              <w:rPr>
                <w:rFonts w:hint="eastAsia" w:ascii="宋体" w:hAnsi="宋体" w:eastAsia="宋体" w:cs="宋体"/>
                <w:color w:val="auto"/>
                <w:spacing w:val="0"/>
                <w:kern w:val="0"/>
                <w:sz w:val="21"/>
                <w:szCs w:val="21"/>
                <w:highlight w:val="none"/>
                <w:lang w:val="en-US" w:eastAsia="zh-CN" w:bidi="ar-SA"/>
              </w:rPr>
              <w:t>分</w:t>
            </w:r>
          </w:p>
        </w:tc>
      </w:tr>
      <w:tr w14:paraId="528357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3FBEEC7A">
            <w:pPr>
              <w:pStyle w:val="30"/>
              <w:keepNext w:val="0"/>
              <w:keepLines w:val="0"/>
              <w:pageBreakBefore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rPr>
              <w:t>2</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210815F8">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lang w:val="en-US" w:eastAsia="zh-CN" w:bidi="ar-SA"/>
              </w:rPr>
              <w:t>获取招标文件截止时间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C90A420">
            <w:pPr>
              <w:keepNext w:val="0"/>
              <w:keepLines w:val="0"/>
              <w:pageBreakBefore w:val="0"/>
              <w:widowControl/>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kern w:val="0"/>
                <w:sz w:val="21"/>
                <w:szCs w:val="21"/>
                <w:highlight w:val="none"/>
                <w:u w:val="single"/>
                <w:lang w:val="en-US" w:eastAsia="zh-CN" w:bidi="ar-SA"/>
              </w:rPr>
              <w:t>2026</w:t>
            </w:r>
            <w:r>
              <w:rPr>
                <w:rFonts w:hint="eastAsia" w:ascii="宋体" w:hAnsi="宋体" w:eastAsia="宋体" w:cs="宋体"/>
                <w:color w:val="auto"/>
                <w:spacing w:val="0"/>
                <w:kern w:val="0"/>
                <w:sz w:val="21"/>
                <w:szCs w:val="21"/>
                <w:highlight w:val="none"/>
                <w:lang w:val="en-US" w:eastAsia="zh-CN" w:bidi="ar-SA"/>
              </w:rPr>
              <w:t>年</w:t>
            </w:r>
            <w:r>
              <w:rPr>
                <w:rFonts w:hint="eastAsia" w:ascii="宋体" w:hAnsi="宋体" w:eastAsia="宋体" w:cs="宋体"/>
                <w:color w:val="auto"/>
                <w:spacing w:val="0"/>
                <w:kern w:val="0"/>
                <w:sz w:val="21"/>
                <w:szCs w:val="21"/>
                <w:highlight w:val="none"/>
                <w:u w:val="single"/>
                <w:lang w:val="en-US" w:eastAsia="zh-CN" w:bidi="ar-SA"/>
              </w:rPr>
              <w:t xml:space="preserve"> 6 </w:t>
            </w:r>
            <w:r>
              <w:rPr>
                <w:rFonts w:hint="eastAsia" w:ascii="宋体" w:hAnsi="宋体" w:eastAsia="宋体" w:cs="宋体"/>
                <w:color w:val="auto"/>
                <w:spacing w:val="0"/>
                <w:kern w:val="0"/>
                <w:sz w:val="21"/>
                <w:szCs w:val="21"/>
                <w:highlight w:val="none"/>
                <w:lang w:val="en-US" w:eastAsia="zh-CN" w:bidi="ar-SA"/>
              </w:rPr>
              <w:t>月</w:t>
            </w:r>
            <w:r>
              <w:rPr>
                <w:rFonts w:hint="eastAsia" w:ascii="宋体" w:hAnsi="宋体" w:eastAsia="宋体" w:cs="宋体"/>
                <w:color w:val="auto"/>
                <w:spacing w:val="0"/>
                <w:kern w:val="0"/>
                <w:sz w:val="21"/>
                <w:szCs w:val="21"/>
                <w:highlight w:val="none"/>
                <w:u w:val="single"/>
                <w:lang w:val="en-US" w:eastAsia="zh-CN" w:bidi="ar-SA"/>
              </w:rPr>
              <w:t xml:space="preserve"> 3 </w:t>
            </w:r>
            <w:r>
              <w:rPr>
                <w:rFonts w:hint="eastAsia" w:ascii="宋体" w:hAnsi="宋体" w:eastAsia="宋体" w:cs="宋体"/>
                <w:color w:val="auto"/>
                <w:spacing w:val="0"/>
                <w:kern w:val="0"/>
                <w:sz w:val="21"/>
                <w:szCs w:val="21"/>
                <w:highlight w:val="none"/>
                <w:lang w:val="en-US" w:eastAsia="zh-CN" w:bidi="ar-SA"/>
              </w:rPr>
              <w:t>日</w:t>
            </w:r>
            <w:r>
              <w:rPr>
                <w:rFonts w:hint="eastAsia" w:ascii="宋体" w:hAnsi="宋体" w:eastAsia="宋体" w:cs="宋体"/>
                <w:color w:val="auto"/>
                <w:spacing w:val="0"/>
                <w:kern w:val="0"/>
                <w:sz w:val="21"/>
                <w:szCs w:val="21"/>
                <w:highlight w:val="none"/>
                <w:u w:val="single"/>
                <w:lang w:val="en-US" w:eastAsia="zh-CN" w:bidi="ar-SA"/>
              </w:rPr>
              <w:t xml:space="preserve"> 9 </w:t>
            </w:r>
            <w:r>
              <w:rPr>
                <w:rFonts w:hint="eastAsia" w:ascii="宋体" w:hAnsi="宋体" w:eastAsia="宋体" w:cs="宋体"/>
                <w:color w:val="auto"/>
                <w:spacing w:val="0"/>
                <w:kern w:val="0"/>
                <w:sz w:val="21"/>
                <w:szCs w:val="21"/>
                <w:highlight w:val="none"/>
                <w:lang w:val="en-US" w:eastAsia="zh-CN" w:bidi="ar-SA"/>
              </w:rPr>
              <w:t>时</w:t>
            </w:r>
            <w:r>
              <w:rPr>
                <w:rFonts w:hint="eastAsia" w:ascii="宋体" w:hAnsi="宋体" w:eastAsia="宋体" w:cs="宋体"/>
                <w:color w:val="auto"/>
                <w:spacing w:val="0"/>
                <w:kern w:val="0"/>
                <w:sz w:val="21"/>
                <w:szCs w:val="21"/>
                <w:highlight w:val="none"/>
                <w:u w:val="single"/>
                <w:lang w:val="en-US" w:eastAsia="zh-CN" w:bidi="ar-SA"/>
              </w:rPr>
              <w:t xml:space="preserve"> 30 </w:t>
            </w:r>
            <w:r>
              <w:rPr>
                <w:rFonts w:hint="eastAsia" w:ascii="宋体" w:hAnsi="宋体" w:eastAsia="宋体" w:cs="宋体"/>
                <w:color w:val="auto"/>
                <w:spacing w:val="0"/>
                <w:kern w:val="0"/>
                <w:sz w:val="21"/>
                <w:szCs w:val="21"/>
                <w:highlight w:val="none"/>
                <w:lang w:val="en-US" w:eastAsia="zh-CN" w:bidi="ar-SA"/>
              </w:rPr>
              <w:t>分</w:t>
            </w:r>
          </w:p>
        </w:tc>
      </w:tr>
      <w:tr w14:paraId="77C5DB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D7B4DD2">
            <w:pPr>
              <w:pStyle w:val="30"/>
              <w:keepNext w:val="0"/>
              <w:keepLines w:val="0"/>
              <w:pageBreakBefore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rPr>
              <w:t>3</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7226F7A">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网上提问</w:t>
            </w:r>
          </w:p>
          <w:p w14:paraId="4A68DA3B">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lang w:val="en-US" w:eastAsia="zh-CN" w:bidi="ar-SA"/>
              </w:rPr>
              <w:t>截止时间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71A36C2">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kern w:val="0"/>
                <w:sz w:val="21"/>
                <w:szCs w:val="21"/>
                <w:highlight w:val="none"/>
                <w:u w:val="single"/>
                <w:lang w:val="en-US" w:eastAsia="zh-CN" w:bidi="ar-SA"/>
              </w:rPr>
              <w:t>2026</w:t>
            </w:r>
            <w:r>
              <w:rPr>
                <w:rFonts w:hint="eastAsia" w:ascii="宋体" w:hAnsi="宋体" w:eastAsia="宋体" w:cs="宋体"/>
                <w:color w:val="auto"/>
                <w:spacing w:val="0"/>
                <w:kern w:val="0"/>
                <w:sz w:val="21"/>
                <w:szCs w:val="21"/>
                <w:highlight w:val="none"/>
                <w:lang w:val="en-US" w:eastAsia="zh-CN" w:bidi="ar-SA"/>
              </w:rPr>
              <w:t>年</w:t>
            </w:r>
            <w:r>
              <w:rPr>
                <w:rFonts w:hint="eastAsia" w:ascii="宋体" w:hAnsi="宋体" w:eastAsia="宋体" w:cs="宋体"/>
                <w:color w:val="auto"/>
                <w:spacing w:val="0"/>
                <w:kern w:val="0"/>
                <w:sz w:val="21"/>
                <w:szCs w:val="21"/>
                <w:highlight w:val="none"/>
                <w:u w:val="single"/>
                <w:lang w:val="en-US" w:eastAsia="zh-CN" w:bidi="ar-SA"/>
              </w:rPr>
              <w:t xml:space="preserve"> 5 </w:t>
            </w:r>
            <w:r>
              <w:rPr>
                <w:rFonts w:hint="eastAsia" w:ascii="宋体" w:hAnsi="宋体" w:eastAsia="宋体" w:cs="宋体"/>
                <w:color w:val="auto"/>
                <w:spacing w:val="0"/>
                <w:kern w:val="0"/>
                <w:sz w:val="21"/>
                <w:szCs w:val="21"/>
                <w:highlight w:val="none"/>
                <w:lang w:val="en-US" w:eastAsia="zh-CN" w:bidi="ar-SA"/>
              </w:rPr>
              <w:t>月</w:t>
            </w:r>
            <w:r>
              <w:rPr>
                <w:rFonts w:hint="eastAsia" w:ascii="宋体" w:hAnsi="宋体" w:eastAsia="宋体" w:cs="宋体"/>
                <w:color w:val="auto"/>
                <w:spacing w:val="0"/>
                <w:kern w:val="0"/>
                <w:sz w:val="21"/>
                <w:szCs w:val="21"/>
                <w:highlight w:val="none"/>
                <w:u w:val="single"/>
                <w:lang w:val="en-US" w:eastAsia="zh-CN" w:bidi="ar-SA"/>
              </w:rPr>
              <w:t xml:space="preserve"> 24 </w:t>
            </w:r>
            <w:r>
              <w:rPr>
                <w:rFonts w:hint="eastAsia" w:ascii="宋体" w:hAnsi="宋体" w:eastAsia="宋体" w:cs="宋体"/>
                <w:color w:val="auto"/>
                <w:spacing w:val="0"/>
                <w:kern w:val="0"/>
                <w:sz w:val="21"/>
                <w:szCs w:val="21"/>
                <w:highlight w:val="none"/>
                <w:lang w:val="en-US" w:eastAsia="zh-CN" w:bidi="ar-SA"/>
              </w:rPr>
              <w:t>日</w:t>
            </w:r>
            <w:r>
              <w:rPr>
                <w:rFonts w:hint="eastAsia" w:ascii="宋体" w:hAnsi="宋体" w:eastAsia="宋体" w:cs="宋体"/>
                <w:color w:val="auto"/>
                <w:spacing w:val="0"/>
                <w:kern w:val="0"/>
                <w:sz w:val="21"/>
                <w:szCs w:val="21"/>
                <w:highlight w:val="none"/>
                <w:u w:val="single"/>
                <w:lang w:val="en-US" w:eastAsia="zh-CN" w:bidi="ar-SA"/>
              </w:rPr>
              <w:t xml:space="preserve"> 16 </w:t>
            </w:r>
            <w:r>
              <w:rPr>
                <w:rFonts w:hint="eastAsia" w:ascii="宋体" w:hAnsi="宋体" w:eastAsia="宋体" w:cs="宋体"/>
                <w:color w:val="auto"/>
                <w:spacing w:val="0"/>
                <w:kern w:val="0"/>
                <w:sz w:val="21"/>
                <w:szCs w:val="21"/>
                <w:highlight w:val="none"/>
                <w:lang w:val="en-US" w:eastAsia="zh-CN" w:bidi="ar-SA"/>
              </w:rPr>
              <w:t>时</w:t>
            </w:r>
            <w:r>
              <w:rPr>
                <w:rFonts w:hint="eastAsia" w:ascii="宋体" w:hAnsi="宋体" w:eastAsia="宋体" w:cs="宋体"/>
                <w:color w:val="auto"/>
                <w:spacing w:val="0"/>
                <w:kern w:val="0"/>
                <w:sz w:val="21"/>
                <w:szCs w:val="21"/>
                <w:highlight w:val="none"/>
                <w:u w:val="single"/>
                <w:lang w:val="en-US" w:eastAsia="zh-CN" w:bidi="ar-SA"/>
              </w:rPr>
              <w:t xml:space="preserve"> 00 </w:t>
            </w:r>
            <w:r>
              <w:rPr>
                <w:rFonts w:hint="eastAsia" w:ascii="宋体" w:hAnsi="宋体" w:eastAsia="宋体" w:cs="宋体"/>
                <w:color w:val="auto"/>
                <w:spacing w:val="0"/>
                <w:kern w:val="0"/>
                <w:sz w:val="21"/>
                <w:szCs w:val="21"/>
                <w:highlight w:val="none"/>
                <w:lang w:val="en-US" w:eastAsia="zh-CN" w:bidi="ar-SA"/>
              </w:rPr>
              <w:t>分</w:t>
            </w:r>
          </w:p>
        </w:tc>
      </w:tr>
      <w:tr w14:paraId="4B4826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38950C56">
            <w:pPr>
              <w:pStyle w:val="30"/>
              <w:keepNext w:val="0"/>
              <w:keepLines w:val="0"/>
              <w:pageBreakBefore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rPr>
              <w:t>4</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1433020">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网上答疑</w:t>
            </w:r>
          </w:p>
          <w:p w14:paraId="05AF550E">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lang w:val="en-US" w:eastAsia="zh-CN" w:bidi="ar-SA"/>
              </w:rPr>
              <w:t>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97B54A6">
            <w:pPr>
              <w:keepNext w:val="0"/>
              <w:keepLines w:val="0"/>
              <w:pageBreakBefore w:val="0"/>
              <w:widowControl/>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kern w:val="0"/>
                <w:sz w:val="21"/>
                <w:szCs w:val="21"/>
                <w:highlight w:val="none"/>
                <w:u w:val="single"/>
                <w:lang w:val="en-US" w:eastAsia="zh-CN" w:bidi="ar-SA"/>
              </w:rPr>
              <w:t>2026</w:t>
            </w:r>
            <w:r>
              <w:rPr>
                <w:rFonts w:hint="eastAsia" w:ascii="宋体" w:hAnsi="宋体" w:eastAsia="宋体" w:cs="宋体"/>
                <w:color w:val="auto"/>
                <w:spacing w:val="0"/>
                <w:kern w:val="0"/>
                <w:sz w:val="21"/>
                <w:szCs w:val="21"/>
                <w:highlight w:val="none"/>
                <w:lang w:val="en-US" w:eastAsia="zh-CN" w:bidi="ar-SA"/>
              </w:rPr>
              <w:t>年</w:t>
            </w:r>
            <w:r>
              <w:rPr>
                <w:rFonts w:hint="eastAsia" w:ascii="宋体" w:hAnsi="宋体" w:eastAsia="宋体" w:cs="宋体"/>
                <w:color w:val="auto"/>
                <w:spacing w:val="0"/>
                <w:kern w:val="0"/>
                <w:sz w:val="21"/>
                <w:szCs w:val="21"/>
                <w:highlight w:val="none"/>
                <w:u w:val="single"/>
                <w:lang w:val="en-US" w:eastAsia="zh-CN" w:bidi="ar-SA"/>
              </w:rPr>
              <w:t xml:space="preserve"> 5 </w:t>
            </w:r>
            <w:r>
              <w:rPr>
                <w:rFonts w:hint="eastAsia" w:ascii="宋体" w:hAnsi="宋体" w:eastAsia="宋体" w:cs="宋体"/>
                <w:color w:val="auto"/>
                <w:spacing w:val="0"/>
                <w:kern w:val="0"/>
                <w:sz w:val="21"/>
                <w:szCs w:val="21"/>
                <w:highlight w:val="none"/>
                <w:lang w:val="en-US" w:eastAsia="zh-CN" w:bidi="ar-SA"/>
              </w:rPr>
              <w:t>月</w:t>
            </w:r>
            <w:r>
              <w:rPr>
                <w:rFonts w:hint="eastAsia" w:ascii="宋体" w:hAnsi="宋体" w:eastAsia="宋体" w:cs="宋体"/>
                <w:color w:val="auto"/>
                <w:spacing w:val="0"/>
                <w:kern w:val="0"/>
                <w:sz w:val="21"/>
                <w:szCs w:val="21"/>
                <w:highlight w:val="none"/>
                <w:u w:val="single"/>
                <w:lang w:val="en-US" w:eastAsia="zh-CN" w:bidi="ar-SA"/>
              </w:rPr>
              <w:t xml:space="preserve"> 24 </w:t>
            </w:r>
            <w:r>
              <w:rPr>
                <w:rFonts w:hint="eastAsia" w:ascii="宋体" w:hAnsi="宋体" w:eastAsia="宋体" w:cs="宋体"/>
                <w:color w:val="auto"/>
                <w:spacing w:val="0"/>
                <w:kern w:val="0"/>
                <w:sz w:val="21"/>
                <w:szCs w:val="21"/>
                <w:highlight w:val="none"/>
                <w:lang w:val="en-US" w:eastAsia="zh-CN" w:bidi="ar-SA"/>
              </w:rPr>
              <w:t>日</w:t>
            </w:r>
            <w:r>
              <w:rPr>
                <w:rFonts w:hint="eastAsia" w:ascii="宋体" w:hAnsi="宋体" w:eastAsia="宋体" w:cs="宋体"/>
                <w:color w:val="auto"/>
                <w:spacing w:val="0"/>
                <w:kern w:val="0"/>
                <w:sz w:val="21"/>
                <w:szCs w:val="21"/>
                <w:highlight w:val="none"/>
                <w:u w:val="single"/>
                <w:lang w:val="en-US" w:eastAsia="zh-CN" w:bidi="ar-SA"/>
              </w:rPr>
              <w:t xml:space="preserve"> 16 </w:t>
            </w:r>
            <w:r>
              <w:rPr>
                <w:rFonts w:hint="eastAsia" w:ascii="宋体" w:hAnsi="宋体" w:eastAsia="宋体" w:cs="宋体"/>
                <w:color w:val="auto"/>
                <w:spacing w:val="0"/>
                <w:kern w:val="0"/>
                <w:sz w:val="21"/>
                <w:szCs w:val="21"/>
                <w:highlight w:val="none"/>
                <w:lang w:val="en-US" w:eastAsia="zh-CN" w:bidi="ar-SA"/>
              </w:rPr>
              <w:t>时</w:t>
            </w:r>
            <w:r>
              <w:rPr>
                <w:rFonts w:hint="eastAsia" w:ascii="宋体" w:hAnsi="宋体" w:eastAsia="宋体" w:cs="宋体"/>
                <w:color w:val="auto"/>
                <w:spacing w:val="0"/>
                <w:kern w:val="0"/>
                <w:sz w:val="21"/>
                <w:szCs w:val="21"/>
                <w:highlight w:val="none"/>
                <w:u w:val="single"/>
                <w:lang w:val="en-US" w:eastAsia="zh-CN" w:bidi="ar-SA"/>
              </w:rPr>
              <w:t xml:space="preserve"> 30 </w:t>
            </w:r>
            <w:r>
              <w:rPr>
                <w:rFonts w:hint="eastAsia" w:ascii="宋体" w:hAnsi="宋体" w:eastAsia="宋体" w:cs="宋体"/>
                <w:color w:val="auto"/>
                <w:spacing w:val="0"/>
                <w:kern w:val="0"/>
                <w:sz w:val="21"/>
                <w:szCs w:val="21"/>
                <w:highlight w:val="none"/>
                <w:lang w:val="en-US" w:eastAsia="zh-CN" w:bidi="ar-SA"/>
              </w:rPr>
              <w:t>分至</w:t>
            </w:r>
            <w:r>
              <w:rPr>
                <w:rFonts w:hint="eastAsia" w:ascii="宋体" w:hAnsi="宋体" w:eastAsia="宋体" w:cs="宋体"/>
                <w:color w:val="auto"/>
                <w:spacing w:val="0"/>
                <w:kern w:val="0"/>
                <w:sz w:val="21"/>
                <w:szCs w:val="21"/>
                <w:highlight w:val="none"/>
                <w:u w:val="single"/>
                <w:lang w:val="en-US" w:eastAsia="zh-CN" w:bidi="ar-SA"/>
              </w:rPr>
              <w:t>2026</w:t>
            </w:r>
            <w:r>
              <w:rPr>
                <w:rFonts w:hint="eastAsia" w:ascii="宋体" w:hAnsi="宋体" w:eastAsia="宋体" w:cs="宋体"/>
                <w:color w:val="auto"/>
                <w:spacing w:val="0"/>
                <w:kern w:val="0"/>
                <w:sz w:val="21"/>
                <w:szCs w:val="21"/>
                <w:highlight w:val="none"/>
                <w:lang w:val="en-US" w:eastAsia="zh-CN" w:bidi="ar-SA"/>
              </w:rPr>
              <w:t>年</w:t>
            </w:r>
            <w:r>
              <w:rPr>
                <w:rFonts w:hint="eastAsia" w:ascii="宋体" w:hAnsi="宋体" w:eastAsia="宋体" w:cs="宋体"/>
                <w:color w:val="auto"/>
                <w:spacing w:val="0"/>
                <w:kern w:val="0"/>
                <w:sz w:val="21"/>
                <w:szCs w:val="21"/>
                <w:highlight w:val="none"/>
                <w:u w:val="single"/>
                <w:lang w:val="en-US" w:eastAsia="zh-CN" w:bidi="ar-SA"/>
              </w:rPr>
              <w:t xml:space="preserve"> 5 </w:t>
            </w:r>
            <w:r>
              <w:rPr>
                <w:rFonts w:hint="eastAsia" w:ascii="宋体" w:hAnsi="宋体" w:eastAsia="宋体" w:cs="宋体"/>
                <w:color w:val="auto"/>
                <w:spacing w:val="0"/>
                <w:kern w:val="0"/>
                <w:sz w:val="21"/>
                <w:szCs w:val="21"/>
                <w:highlight w:val="none"/>
                <w:lang w:val="en-US" w:eastAsia="zh-CN" w:bidi="ar-SA"/>
              </w:rPr>
              <w:t>月</w:t>
            </w:r>
            <w:r>
              <w:rPr>
                <w:rFonts w:hint="eastAsia" w:ascii="宋体" w:hAnsi="宋体" w:eastAsia="宋体" w:cs="宋体"/>
                <w:color w:val="auto"/>
                <w:spacing w:val="0"/>
                <w:kern w:val="0"/>
                <w:sz w:val="21"/>
                <w:szCs w:val="21"/>
                <w:highlight w:val="none"/>
                <w:u w:val="single"/>
                <w:lang w:val="en-US" w:eastAsia="zh-CN" w:bidi="ar-SA"/>
              </w:rPr>
              <w:t xml:space="preserve"> 27 </w:t>
            </w:r>
            <w:r>
              <w:rPr>
                <w:rFonts w:hint="eastAsia" w:ascii="宋体" w:hAnsi="宋体" w:eastAsia="宋体" w:cs="宋体"/>
                <w:color w:val="auto"/>
                <w:spacing w:val="0"/>
                <w:kern w:val="0"/>
                <w:sz w:val="21"/>
                <w:szCs w:val="21"/>
                <w:highlight w:val="none"/>
                <w:lang w:val="en-US" w:eastAsia="zh-CN" w:bidi="ar-SA"/>
              </w:rPr>
              <w:t>日</w:t>
            </w:r>
            <w:r>
              <w:rPr>
                <w:rFonts w:hint="eastAsia" w:ascii="宋体" w:hAnsi="宋体" w:eastAsia="宋体" w:cs="宋体"/>
                <w:color w:val="auto"/>
                <w:spacing w:val="0"/>
                <w:kern w:val="0"/>
                <w:sz w:val="21"/>
                <w:szCs w:val="21"/>
                <w:highlight w:val="none"/>
                <w:u w:val="single"/>
                <w:lang w:val="en-US" w:eastAsia="zh-CN" w:bidi="ar-SA"/>
              </w:rPr>
              <w:t xml:space="preserve"> 16 </w:t>
            </w:r>
            <w:r>
              <w:rPr>
                <w:rFonts w:hint="eastAsia" w:ascii="宋体" w:hAnsi="宋体" w:eastAsia="宋体" w:cs="宋体"/>
                <w:color w:val="auto"/>
                <w:spacing w:val="0"/>
                <w:kern w:val="0"/>
                <w:sz w:val="21"/>
                <w:szCs w:val="21"/>
                <w:highlight w:val="none"/>
                <w:lang w:val="en-US" w:eastAsia="zh-CN" w:bidi="ar-SA"/>
              </w:rPr>
              <w:t>时</w:t>
            </w:r>
            <w:r>
              <w:rPr>
                <w:rFonts w:hint="eastAsia" w:ascii="宋体" w:hAnsi="宋体" w:eastAsia="宋体" w:cs="宋体"/>
                <w:color w:val="auto"/>
                <w:spacing w:val="0"/>
                <w:kern w:val="0"/>
                <w:sz w:val="21"/>
                <w:szCs w:val="21"/>
                <w:highlight w:val="none"/>
                <w:u w:val="single"/>
                <w:lang w:val="en-US" w:eastAsia="zh-CN" w:bidi="ar-SA"/>
              </w:rPr>
              <w:t xml:space="preserve"> 00 </w:t>
            </w:r>
            <w:r>
              <w:rPr>
                <w:rFonts w:hint="eastAsia" w:ascii="宋体" w:hAnsi="宋体" w:eastAsia="宋体" w:cs="宋体"/>
                <w:color w:val="auto"/>
                <w:spacing w:val="0"/>
                <w:kern w:val="0"/>
                <w:sz w:val="21"/>
                <w:szCs w:val="21"/>
                <w:highlight w:val="none"/>
                <w:lang w:val="en-US" w:eastAsia="zh-CN" w:bidi="ar-SA"/>
              </w:rPr>
              <w:t>分</w:t>
            </w:r>
          </w:p>
        </w:tc>
      </w:tr>
      <w:tr w14:paraId="02A63D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6" w:hRule="atLeas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44571EF">
            <w:pPr>
              <w:pStyle w:val="30"/>
              <w:keepNext w:val="0"/>
              <w:keepLines w:val="0"/>
              <w:pageBreakBefore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rPr>
              <w:t>5</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EBD53A3">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投标保证缴</w:t>
            </w:r>
          </w:p>
          <w:p w14:paraId="04D104E1">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lang w:val="en-US" w:eastAsia="zh-CN" w:bidi="ar-SA"/>
              </w:rPr>
              <w:t>纳截止时间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3AE8447A">
            <w:pPr>
              <w:keepNext w:val="0"/>
              <w:keepLines w:val="0"/>
              <w:pageBreakBefore w:val="0"/>
              <w:widowControl/>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color w:val="auto"/>
                <w:spacing w:val="0"/>
                <w:kern w:val="0"/>
                <w:sz w:val="21"/>
                <w:szCs w:val="21"/>
                <w:highlight w:val="none"/>
                <w:lang w:val="en-US" w:eastAsia="zh-CN" w:bidi="ar-SA"/>
              </w:rPr>
            </w:pPr>
            <w:r>
              <w:rPr>
                <w:rFonts w:hint="eastAsia" w:ascii="宋体" w:hAnsi="宋体" w:eastAsia="宋体" w:cs="宋体"/>
                <w:color w:val="auto"/>
                <w:spacing w:val="0"/>
                <w:kern w:val="0"/>
                <w:sz w:val="21"/>
                <w:szCs w:val="21"/>
                <w:highlight w:val="none"/>
                <w:lang w:val="en-US" w:eastAsia="zh-CN" w:bidi="ar-SA"/>
              </w:rPr>
              <w:t>投标保证金到账截止时间：</w:t>
            </w:r>
            <w:r>
              <w:rPr>
                <w:rFonts w:hint="eastAsia" w:ascii="宋体" w:hAnsi="宋体" w:eastAsia="宋体" w:cs="宋体"/>
                <w:color w:val="auto"/>
                <w:spacing w:val="0"/>
                <w:kern w:val="0"/>
                <w:sz w:val="21"/>
                <w:szCs w:val="21"/>
                <w:highlight w:val="none"/>
                <w:u w:val="single"/>
                <w:lang w:val="en-US" w:eastAsia="zh-CN" w:bidi="ar-SA"/>
              </w:rPr>
              <w:t>2026</w:t>
            </w:r>
            <w:r>
              <w:rPr>
                <w:rFonts w:hint="eastAsia" w:ascii="宋体" w:hAnsi="宋体" w:eastAsia="宋体" w:cs="宋体"/>
                <w:color w:val="auto"/>
                <w:spacing w:val="0"/>
                <w:kern w:val="0"/>
                <w:sz w:val="21"/>
                <w:szCs w:val="21"/>
                <w:highlight w:val="none"/>
                <w:lang w:val="en-US" w:eastAsia="zh-CN" w:bidi="ar-SA"/>
              </w:rPr>
              <w:t>年</w:t>
            </w:r>
            <w:r>
              <w:rPr>
                <w:rFonts w:hint="eastAsia" w:ascii="宋体" w:hAnsi="宋体" w:eastAsia="宋体" w:cs="宋体"/>
                <w:color w:val="auto"/>
                <w:spacing w:val="0"/>
                <w:kern w:val="0"/>
                <w:sz w:val="21"/>
                <w:szCs w:val="21"/>
                <w:highlight w:val="none"/>
                <w:u w:val="single"/>
                <w:lang w:val="en-US" w:eastAsia="zh-CN" w:bidi="ar-SA"/>
              </w:rPr>
              <w:t xml:space="preserve"> 6 </w:t>
            </w:r>
            <w:r>
              <w:rPr>
                <w:rFonts w:hint="eastAsia" w:ascii="宋体" w:hAnsi="宋体" w:eastAsia="宋体" w:cs="宋体"/>
                <w:color w:val="auto"/>
                <w:spacing w:val="0"/>
                <w:kern w:val="0"/>
                <w:sz w:val="21"/>
                <w:szCs w:val="21"/>
                <w:highlight w:val="none"/>
                <w:lang w:val="en-US" w:eastAsia="zh-CN" w:bidi="ar-SA"/>
              </w:rPr>
              <w:t>月</w:t>
            </w:r>
            <w:r>
              <w:rPr>
                <w:rFonts w:hint="eastAsia" w:ascii="宋体" w:hAnsi="宋体" w:eastAsia="宋体" w:cs="宋体"/>
                <w:color w:val="auto"/>
                <w:spacing w:val="0"/>
                <w:kern w:val="0"/>
                <w:sz w:val="21"/>
                <w:szCs w:val="21"/>
                <w:highlight w:val="none"/>
                <w:u w:val="single"/>
                <w:lang w:val="en-US" w:eastAsia="zh-CN" w:bidi="ar-SA"/>
              </w:rPr>
              <w:t xml:space="preserve"> 2 </w:t>
            </w:r>
            <w:r>
              <w:rPr>
                <w:rFonts w:hint="eastAsia" w:ascii="宋体" w:hAnsi="宋体" w:eastAsia="宋体" w:cs="宋体"/>
                <w:color w:val="auto"/>
                <w:spacing w:val="0"/>
                <w:kern w:val="0"/>
                <w:sz w:val="21"/>
                <w:szCs w:val="21"/>
                <w:highlight w:val="none"/>
                <w:lang w:val="en-US" w:eastAsia="zh-CN" w:bidi="ar-SA"/>
              </w:rPr>
              <w:t>日</w:t>
            </w:r>
            <w:r>
              <w:rPr>
                <w:rFonts w:hint="eastAsia" w:ascii="宋体" w:hAnsi="宋体" w:eastAsia="宋体" w:cs="宋体"/>
                <w:color w:val="auto"/>
                <w:spacing w:val="0"/>
                <w:kern w:val="0"/>
                <w:sz w:val="21"/>
                <w:szCs w:val="21"/>
                <w:highlight w:val="none"/>
                <w:u w:val="single"/>
                <w:lang w:val="en-US" w:eastAsia="zh-CN" w:bidi="ar-SA"/>
              </w:rPr>
              <w:t xml:space="preserve"> 9 </w:t>
            </w:r>
            <w:r>
              <w:rPr>
                <w:rFonts w:hint="eastAsia" w:ascii="宋体" w:hAnsi="宋体" w:eastAsia="宋体" w:cs="宋体"/>
                <w:color w:val="auto"/>
                <w:spacing w:val="0"/>
                <w:kern w:val="0"/>
                <w:sz w:val="21"/>
                <w:szCs w:val="21"/>
                <w:highlight w:val="none"/>
                <w:lang w:val="en-US" w:eastAsia="zh-CN" w:bidi="ar-SA"/>
              </w:rPr>
              <w:t>时</w:t>
            </w:r>
            <w:r>
              <w:rPr>
                <w:rFonts w:hint="eastAsia" w:ascii="宋体" w:hAnsi="宋体" w:eastAsia="宋体" w:cs="宋体"/>
                <w:color w:val="auto"/>
                <w:spacing w:val="0"/>
                <w:kern w:val="0"/>
                <w:sz w:val="21"/>
                <w:szCs w:val="21"/>
                <w:highlight w:val="none"/>
                <w:u w:val="single"/>
                <w:lang w:val="en-US" w:eastAsia="zh-CN" w:bidi="ar-SA"/>
              </w:rPr>
              <w:t xml:space="preserve"> 30 </w:t>
            </w:r>
            <w:r>
              <w:rPr>
                <w:rFonts w:hint="eastAsia" w:ascii="宋体" w:hAnsi="宋体" w:eastAsia="宋体" w:cs="宋体"/>
                <w:color w:val="auto"/>
                <w:spacing w:val="0"/>
                <w:kern w:val="0"/>
                <w:sz w:val="21"/>
                <w:szCs w:val="21"/>
                <w:highlight w:val="none"/>
                <w:lang w:val="en-US" w:eastAsia="zh-CN" w:bidi="ar-SA"/>
              </w:rPr>
              <w:t>分；</w:t>
            </w:r>
          </w:p>
          <w:p w14:paraId="7266290C">
            <w:pPr>
              <w:keepNext w:val="0"/>
              <w:keepLines w:val="0"/>
              <w:pageBreakBefore w:val="0"/>
              <w:widowControl/>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color w:val="auto"/>
                <w:spacing w:val="0"/>
                <w:kern w:val="0"/>
                <w:sz w:val="21"/>
                <w:szCs w:val="21"/>
                <w:highlight w:val="none"/>
                <w:lang w:val="en-US" w:eastAsia="zh-CN" w:bidi="ar-SA"/>
              </w:rPr>
            </w:pPr>
            <w:r>
              <w:rPr>
                <w:rFonts w:hint="eastAsia" w:ascii="宋体" w:hAnsi="宋体" w:eastAsia="宋体" w:cs="宋体"/>
                <w:color w:val="auto"/>
                <w:spacing w:val="0"/>
                <w:kern w:val="0"/>
                <w:sz w:val="21"/>
                <w:szCs w:val="21"/>
                <w:highlight w:val="none"/>
                <w:lang w:val="en-US" w:eastAsia="zh-CN" w:bidi="ar-SA"/>
              </w:rPr>
              <w:t>投标保证担保上传截止时间：</w:t>
            </w:r>
            <w:r>
              <w:rPr>
                <w:rFonts w:hint="eastAsia" w:ascii="宋体" w:hAnsi="宋体" w:eastAsia="宋体" w:cs="宋体"/>
                <w:color w:val="auto"/>
                <w:spacing w:val="0"/>
                <w:kern w:val="0"/>
                <w:sz w:val="21"/>
                <w:szCs w:val="21"/>
                <w:highlight w:val="none"/>
                <w:u w:val="single"/>
                <w:lang w:val="en-US" w:eastAsia="zh-CN" w:bidi="ar-SA"/>
              </w:rPr>
              <w:t>2026</w:t>
            </w:r>
            <w:r>
              <w:rPr>
                <w:rFonts w:hint="eastAsia" w:ascii="宋体" w:hAnsi="宋体" w:eastAsia="宋体" w:cs="宋体"/>
                <w:color w:val="auto"/>
                <w:spacing w:val="0"/>
                <w:kern w:val="0"/>
                <w:sz w:val="21"/>
                <w:szCs w:val="21"/>
                <w:highlight w:val="none"/>
                <w:lang w:val="en-US" w:eastAsia="zh-CN" w:bidi="ar-SA"/>
              </w:rPr>
              <w:t>年</w:t>
            </w:r>
            <w:r>
              <w:rPr>
                <w:rFonts w:hint="eastAsia" w:ascii="宋体" w:hAnsi="宋体" w:eastAsia="宋体" w:cs="宋体"/>
                <w:color w:val="auto"/>
                <w:spacing w:val="0"/>
                <w:kern w:val="0"/>
                <w:sz w:val="21"/>
                <w:szCs w:val="21"/>
                <w:highlight w:val="none"/>
                <w:u w:val="single"/>
                <w:lang w:val="en-US" w:eastAsia="zh-CN" w:bidi="ar-SA"/>
              </w:rPr>
              <w:t xml:space="preserve"> 6 </w:t>
            </w:r>
            <w:r>
              <w:rPr>
                <w:rFonts w:hint="eastAsia" w:ascii="宋体" w:hAnsi="宋体" w:eastAsia="宋体" w:cs="宋体"/>
                <w:color w:val="auto"/>
                <w:spacing w:val="0"/>
                <w:kern w:val="0"/>
                <w:sz w:val="21"/>
                <w:szCs w:val="21"/>
                <w:highlight w:val="none"/>
                <w:lang w:val="en-US" w:eastAsia="zh-CN" w:bidi="ar-SA"/>
              </w:rPr>
              <w:t>月</w:t>
            </w:r>
            <w:r>
              <w:rPr>
                <w:rFonts w:hint="eastAsia" w:ascii="宋体" w:hAnsi="宋体" w:eastAsia="宋体" w:cs="宋体"/>
                <w:color w:val="auto"/>
                <w:spacing w:val="0"/>
                <w:kern w:val="0"/>
                <w:sz w:val="21"/>
                <w:szCs w:val="21"/>
                <w:highlight w:val="none"/>
                <w:u w:val="single"/>
                <w:lang w:val="en-US" w:eastAsia="zh-CN" w:bidi="ar-SA"/>
              </w:rPr>
              <w:t xml:space="preserve"> 2 </w:t>
            </w:r>
            <w:r>
              <w:rPr>
                <w:rFonts w:hint="eastAsia" w:ascii="宋体" w:hAnsi="宋体" w:eastAsia="宋体" w:cs="宋体"/>
                <w:color w:val="auto"/>
                <w:spacing w:val="0"/>
                <w:kern w:val="0"/>
                <w:sz w:val="21"/>
                <w:szCs w:val="21"/>
                <w:highlight w:val="none"/>
                <w:lang w:val="en-US" w:eastAsia="zh-CN" w:bidi="ar-SA"/>
              </w:rPr>
              <w:t>日</w:t>
            </w:r>
            <w:r>
              <w:rPr>
                <w:rFonts w:hint="eastAsia" w:ascii="宋体" w:hAnsi="宋体" w:eastAsia="宋体" w:cs="宋体"/>
                <w:color w:val="auto"/>
                <w:spacing w:val="0"/>
                <w:kern w:val="0"/>
                <w:sz w:val="21"/>
                <w:szCs w:val="21"/>
                <w:highlight w:val="none"/>
                <w:u w:val="single"/>
                <w:lang w:val="en-US" w:eastAsia="zh-CN" w:bidi="ar-SA"/>
              </w:rPr>
              <w:t xml:space="preserve"> 9 </w:t>
            </w:r>
            <w:r>
              <w:rPr>
                <w:rFonts w:hint="eastAsia" w:ascii="宋体" w:hAnsi="宋体" w:eastAsia="宋体" w:cs="宋体"/>
                <w:color w:val="auto"/>
                <w:spacing w:val="0"/>
                <w:kern w:val="0"/>
                <w:sz w:val="21"/>
                <w:szCs w:val="21"/>
                <w:highlight w:val="none"/>
                <w:lang w:val="en-US" w:eastAsia="zh-CN" w:bidi="ar-SA"/>
              </w:rPr>
              <w:t>时</w:t>
            </w:r>
            <w:r>
              <w:rPr>
                <w:rFonts w:hint="eastAsia" w:ascii="宋体" w:hAnsi="宋体" w:eastAsia="宋体" w:cs="宋体"/>
                <w:color w:val="auto"/>
                <w:spacing w:val="0"/>
                <w:kern w:val="0"/>
                <w:sz w:val="21"/>
                <w:szCs w:val="21"/>
                <w:highlight w:val="none"/>
                <w:u w:val="single"/>
                <w:lang w:val="en-US" w:eastAsia="zh-CN" w:bidi="ar-SA"/>
              </w:rPr>
              <w:t xml:space="preserve"> 30 </w:t>
            </w:r>
            <w:r>
              <w:rPr>
                <w:rFonts w:hint="eastAsia" w:ascii="宋体" w:hAnsi="宋体" w:eastAsia="宋体" w:cs="宋体"/>
                <w:color w:val="auto"/>
                <w:spacing w:val="0"/>
                <w:kern w:val="0"/>
                <w:sz w:val="21"/>
                <w:szCs w:val="21"/>
                <w:highlight w:val="none"/>
                <w:lang w:val="en-US" w:eastAsia="zh-CN" w:bidi="ar-SA"/>
              </w:rPr>
              <w:t>分；</w:t>
            </w:r>
          </w:p>
          <w:p w14:paraId="700C32DD">
            <w:pPr>
              <w:keepNext w:val="0"/>
              <w:keepLines w:val="0"/>
              <w:pageBreakBefore w:val="0"/>
              <w:widowControl/>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kern w:val="0"/>
                <w:sz w:val="21"/>
                <w:szCs w:val="21"/>
                <w:highlight w:val="none"/>
                <w:lang w:val="en-US" w:eastAsia="zh-CN" w:bidi="ar-SA"/>
              </w:rPr>
              <w:t>投标保证保险投保截止时间：</w:t>
            </w:r>
            <w:r>
              <w:rPr>
                <w:rFonts w:hint="eastAsia" w:ascii="宋体" w:hAnsi="宋体" w:eastAsia="宋体" w:cs="宋体"/>
                <w:color w:val="auto"/>
                <w:spacing w:val="0"/>
                <w:kern w:val="0"/>
                <w:sz w:val="21"/>
                <w:szCs w:val="21"/>
                <w:highlight w:val="none"/>
                <w:u w:val="single"/>
                <w:lang w:val="en-US" w:eastAsia="zh-CN" w:bidi="ar-SA"/>
              </w:rPr>
              <w:t>2026</w:t>
            </w:r>
            <w:r>
              <w:rPr>
                <w:rFonts w:hint="eastAsia" w:ascii="宋体" w:hAnsi="宋体" w:eastAsia="宋体" w:cs="宋体"/>
                <w:color w:val="auto"/>
                <w:spacing w:val="0"/>
                <w:kern w:val="0"/>
                <w:sz w:val="21"/>
                <w:szCs w:val="21"/>
                <w:highlight w:val="none"/>
                <w:lang w:val="en-US" w:eastAsia="zh-CN" w:bidi="ar-SA"/>
              </w:rPr>
              <w:t>年</w:t>
            </w:r>
            <w:r>
              <w:rPr>
                <w:rFonts w:hint="eastAsia" w:ascii="宋体" w:hAnsi="宋体" w:eastAsia="宋体" w:cs="宋体"/>
                <w:color w:val="auto"/>
                <w:spacing w:val="0"/>
                <w:kern w:val="0"/>
                <w:sz w:val="21"/>
                <w:szCs w:val="21"/>
                <w:highlight w:val="none"/>
                <w:u w:val="single"/>
                <w:lang w:val="en-US" w:eastAsia="zh-CN" w:bidi="ar-SA"/>
              </w:rPr>
              <w:t xml:space="preserve"> 6 </w:t>
            </w:r>
            <w:r>
              <w:rPr>
                <w:rFonts w:hint="eastAsia" w:ascii="宋体" w:hAnsi="宋体" w:eastAsia="宋体" w:cs="宋体"/>
                <w:color w:val="auto"/>
                <w:spacing w:val="0"/>
                <w:kern w:val="0"/>
                <w:sz w:val="21"/>
                <w:szCs w:val="21"/>
                <w:highlight w:val="none"/>
                <w:lang w:val="en-US" w:eastAsia="zh-CN" w:bidi="ar-SA"/>
              </w:rPr>
              <w:t>月</w:t>
            </w:r>
            <w:r>
              <w:rPr>
                <w:rFonts w:hint="eastAsia" w:ascii="宋体" w:hAnsi="宋体" w:eastAsia="宋体" w:cs="宋体"/>
                <w:color w:val="auto"/>
                <w:spacing w:val="0"/>
                <w:kern w:val="0"/>
                <w:sz w:val="21"/>
                <w:szCs w:val="21"/>
                <w:highlight w:val="none"/>
                <w:u w:val="single"/>
                <w:lang w:val="en-US" w:eastAsia="zh-CN" w:bidi="ar-SA"/>
              </w:rPr>
              <w:t xml:space="preserve"> 2 </w:t>
            </w:r>
            <w:r>
              <w:rPr>
                <w:rFonts w:hint="eastAsia" w:ascii="宋体" w:hAnsi="宋体" w:eastAsia="宋体" w:cs="宋体"/>
                <w:color w:val="auto"/>
                <w:spacing w:val="0"/>
                <w:kern w:val="0"/>
                <w:sz w:val="21"/>
                <w:szCs w:val="21"/>
                <w:highlight w:val="none"/>
                <w:lang w:val="en-US" w:eastAsia="zh-CN" w:bidi="ar-SA"/>
              </w:rPr>
              <w:t>日</w:t>
            </w:r>
            <w:r>
              <w:rPr>
                <w:rFonts w:hint="eastAsia" w:ascii="宋体" w:hAnsi="宋体" w:eastAsia="宋体" w:cs="宋体"/>
                <w:color w:val="auto"/>
                <w:spacing w:val="0"/>
                <w:kern w:val="0"/>
                <w:sz w:val="21"/>
                <w:szCs w:val="21"/>
                <w:highlight w:val="none"/>
                <w:u w:val="single"/>
                <w:lang w:val="en-US" w:eastAsia="zh-CN" w:bidi="ar-SA"/>
              </w:rPr>
              <w:t xml:space="preserve"> 9 </w:t>
            </w:r>
            <w:r>
              <w:rPr>
                <w:rFonts w:hint="eastAsia" w:ascii="宋体" w:hAnsi="宋体" w:eastAsia="宋体" w:cs="宋体"/>
                <w:color w:val="auto"/>
                <w:spacing w:val="0"/>
                <w:kern w:val="0"/>
                <w:sz w:val="21"/>
                <w:szCs w:val="21"/>
                <w:highlight w:val="none"/>
                <w:lang w:val="en-US" w:eastAsia="zh-CN" w:bidi="ar-SA"/>
              </w:rPr>
              <w:t>时</w:t>
            </w:r>
            <w:r>
              <w:rPr>
                <w:rFonts w:hint="eastAsia" w:ascii="宋体" w:hAnsi="宋体" w:eastAsia="宋体" w:cs="宋体"/>
                <w:color w:val="auto"/>
                <w:spacing w:val="0"/>
                <w:kern w:val="0"/>
                <w:sz w:val="21"/>
                <w:szCs w:val="21"/>
                <w:highlight w:val="none"/>
                <w:u w:val="single"/>
                <w:lang w:val="en-US" w:eastAsia="zh-CN" w:bidi="ar-SA"/>
              </w:rPr>
              <w:t xml:space="preserve"> 30 </w:t>
            </w:r>
            <w:r>
              <w:rPr>
                <w:rFonts w:hint="eastAsia" w:ascii="宋体" w:hAnsi="宋体" w:eastAsia="宋体" w:cs="宋体"/>
                <w:color w:val="auto"/>
                <w:spacing w:val="0"/>
                <w:kern w:val="0"/>
                <w:sz w:val="21"/>
                <w:szCs w:val="21"/>
                <w:highlight w:val="none"/>
                <w:lang w:val="en-US" w:eastAsia="zh-CN" w:bidi="ar-SA"/>
              </w:rPr>
              <w:t>分。</w:t>
            </w:r>
          </w:p>
        </w:tc>
      </w:tr>
      <w:tr w14:paraId="5CC81A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6AC94A6">
            <w:pPr>
              <w:pStyle w:val="30"/>
              <w:keepNext w:val="0"/>
              <w:keepLines w:val="0"/>
              <w:pageBreakBefore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rPr>
              <w:t>6</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7A4233CD">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电子投标</w:t>
            </w:r>
          </w:p>
          <w:p w14:paraId="0102B45F">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lang w:val="en-US" w:eastAsia="zh-CN" w:bidi="ar-SA"/>
              </w:rPr>
              <w:t>截止时间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39C99B2">
            <w:pPr>
              <w:keepNext w:val="0"/>
              <w:keepLines w:val="0"/>
              <w:pageBreakBefore w:val="0"/>
              <w:widowControl/>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kern w:val="0"/>
                <w:sz w:val="21"/>
                <w:szCs w:val="21"/>
                <w:highlight w:val="none"/>
                <w:u w:val="single"/>
                <w:lang w:val="en-US" w:eastAsia="zh-CN" w:bidi="ar-SA"/>
              </w:rPr>
              <w:t>2026</w:t>
            </w:r>
            <w:r>
              <w:rPr>
                <w:rFonts w:hint="eastAsia" w:ascii="宋体" w:hAnsi="宋体" w:eastAsia="宋体" w:cs="宋体"/>
                <w:color w:val="auto"/>
                <w:spacing w:val="0"/>
                <w:kern w:val="0"/>
                <w:sz w:val="21"/>
                <w:szCs w:val="21"/>
                <w:highlight w:val="none"/>
                <w:lang w:val="en-US" w:eastAsia="zh-CN" w:bidi="ar-SA"/>
              </w:rPr>
              <w:t>年</w:t>
            </w:r>
            <w:r>
              <w:rPr>
                <w:rFonts w:hint="eastAsia" w:ascii="宋体" w:hAnsi="宋体" w:eastAsia="宋体" w:cs="宋体"/>
                <w:color w:val="auto"/>
                <w:spacing w:val="0"/>
                <w:kern w:val="0"/>
                <w:sz w:val="21"/>
                <w:szCs w:val="21"/>
                <w:highlight w:val="none"/>
                <w:u w:val="single"/>
                <w:lang w:val="en-US" w:eastAsia="zh-CN" w:bidi="ar-SA"/>
              </w:rPr>
              <w:t xml:space="preserve"> 6 </w:t>
            </w:r>
            <w:r>
              <w:rPr>
                <w:rFonts w:hint="eastAsia" w:ascii="宋体" w:hAnsi="宋体" w:eastAsia="宋体" w:cs="宋体"/>
                <w:color w:val="auto"/>
                <w:spacing w:val="0"/>
                <w:kern w:val="0"/>
                <w:sz w:val="21"/>
                <w:szCs w:val="21"/>
                <w:highlight w:val="none"/>
                <w:lang w:val="en-US" w:eastAsia="zh-CN" w:bidi="ar-SA"/>
              </w:rPr>
              <w:t>月</w:t>
            </w:r>
            <w:r>
              <w:rPr>
                <w:rFonts w:hint="eastAsia" w:ascii="宋体" w:hAnsi="宋体" w:eastAsia="宋体" w:cs="宋体"/>
                <w:color w:val="auto"/>
                <w:spacing w:val="0"/>
                <w:kern w:val="0"/>
                <w:sz w:val="21"/>
                <w:szCs w:val="21"/>
                <w:highlight w:val="none"/>
                <w:u w:val="single"/>
                <w:lang w:val="en-US" w:eastAsia="zh-CN" w:bidi="ar-SA"/>
              </w:rPr>
              <w:t xml:space="preserve"> 3 </w:t>
            </w:r>
            <w:r>
              <w:rPr>
                <w:rFonts w:hint="eastAsia" w:ascii="宋体" w:hAnsi="宋体" w:eastAsia="宋体" w:cs="宋体"/>
                <w:color w:val="auto"/>
                <w:spacing w:val="0"/>
                <w:kern w:val="0"/>
                <w:sz w:val="21"/>
                <w:szCs w:val="21"/>
                <w:highlight w:val="none"/>
                <w:lang w:val="en-US" w:eastAsia="zh-CN" w:bidi="ar-SA"/>
              </w:rPr>
              <w:t>日</w:t>
            </w:r>
            <w:r>
              <w:rPr>
                <w:rFonts w:hint="eastAsia" w:ascii="宋体" w:hAnsi="宋体" w:eastAsia="宋体" w:cs="宋体"/>
                <w:color w:val="auto"/>
                <w:spacing w:val="0"/>
                <w:kern w:val="0"/>
                <w:sz w:val="21"/>
                <w:szCs w:val="21"/>
                <w:highlight w:val="none"/>
                <w:u w:val="single"/>
                <w:lang w:val="en-US" w:eastAsia="zh-CN" w:bidi="ar-SA"/>
              </w:rPr>
              <w:t xml:space="preserve"> 9 </w:t>
            </w:r>
            <w:r>
              <w:rPr>
                <w:rFonts w:hint="eastAsia" w:ascii="宋体" w:hAnsi="宋体" w:eastAsia="宋体" w:cs="宋体"/>
                <w:color w:val="auto"/>
                <w:spacing w:val="0"/>
                <w:kern w:val="0"/>
                <w:sz w:val="21"/>
                <w:szCs w:val="21"/>
                <w:highlight w:val="none"/>
                <w:lang w:val="en-US" w:eastAsia="zh-CN" w:bidi="ar-SA"/>
              </w:rPr>
              <w:t>时</w:t>
            </w:r>
            <w:r>
              <w:rPr>
                <w:rFonts w:hint="eastAsia" w:ascii="宋体" w:hAnsi="宋体" w:eastAsia="宋体" w:cs="宋体"/>
                <w:color w:val="auto"/>
                <w:spacing w:val="0"/>
                <w:kern w:val="0"/>
                <w:sz w:val="21"/>
                <w:szCs w:val="21"/>
                <w:highlight w:val="none"/>
                <w:u w:val="single"/>
                <w:lang w:val="en-US" w:eastAsia="zh-CN" w:bidi="ar-SA"/>
              </w:rPr>
              <w:t xml:space="preserve"> 30 </w:t>
            </w:r>
            <w:r>
              <w:rPr>
                <w:rFonts w:hint="eastAsia" w:ascii="宋体" w:hAnsi="宋体" w:eastAsia="宋体" w:cs="宋体"/>
                <w:color w:val="auto"/>
                <w:spacing w:val="0"/>
                <w:kern w:val="0"/>
                <w:sz w:val="21"/>
                <w:szCs w:val="21"/>
                <w:highlight w:val="none"/>
                <w:lang w:val="en-US" w:eastAsia="zh-CN" w:bidi="ar-SA"/>
              </w:rPr>
              <w:t>分</w:t>
            </w:r>
          </w:p>
        </w:tc>
      </w:tr>
      <w:tr w14:paraId="40A65A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53BC0D2F">
            <w:pPr>
              <w:pStyle w:val="30"/>
              <w:keepNext w:val="0"/>
              <w:keepLines w:val="0"/>
              <w:pageBreakBefore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rPr>
              <w:t>7</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54DAD9F8">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lang w:val="en-US" w:eastAsia="zh-CN" w:bidi="ar-SA"/>
              </w:rPr>
              <w:t>投标相关资料（如有）递交时间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D80A5C6">
            <w:pPr>
              <w:keepNext w:val="0"/>
              <w:keepLines w:val="0"/>
              <w:pageBreakBefore w:val="0"/>
              <w:widowControl/>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kern w:val="0"/>
                <w:sz w:val="21"/>
                <w:szCs w:val="21"/>
                <w:highlight w:val="none"/>
                <w:u w:val="single"/>
                <w:lang w:val="en-US" w:eastAsia="zh-CN" w:bidi="ar-SA"/>
              </w:rPr>
              <w:t>2026</w:t>
            </w:r>
            <w:r>
              <w:rPr>
                <w:rFonts w:hint="eastAsia" w:ascii="宋体" w:hAnsi="宋体" w:eastAsia="宋体" w:cs="宋体"/>
                <w:color w:val="auto"/>
                <w:spacing w:val="0"/>
                <w:kern w:val="0"/>
                <w:sz w:val="21"/>
                <w:szCs w:val="21"/>
                <w:highlight w:val="none"/>
                <w:lang w:val="en-US" w:eastAsia="zh-CN" w:bidi="ar-SA"/>
              </w:rPr>
              <w:t>年</w:t>
            </w:r>
            <w:r>
              <w:rPr>
                <w:rFonts w:hint="eastAsia" w:ascii="宋体" w:hAnsi="宋体" w:eastAsia="宋体" w:cs="宋体"/>
                <w:color w:val="auto"/>
                <w:spacing w:val="0"/>
                <w:kern w:val="0"/>
                <w:sz w:val="21"/>
                <w:szCs w:val="21"/>
                <w:highlight w:val="none"/>
                <w:u w:val="single"/>
                <w:lang w:val="en-US" w:eastAsia="zh-CN" w:bidi="ar-SA"/>
              </w:rPr>
              <w:t xml:space="preserve"> 6 </w:t>
            </w:r>
            <w:r>
              <w:rPr>
                <w:rFonts w:hint="eastAsia" w:ascii="宋体" w:hAnsi="宋体" w:eastAsia="宋体" w:cs="宋体"/>
                <w:color w:val="auto"/>
                <w:spacing w:val="0"/>
                <w:kern w:val="0"/>
                <w:sz w:val="21"/>
                <w:szCs w:val="21"/>
                <w:highlight w:val="none"/>
                <w:lang w:val="en-US" w:eastAsia="zh-CN" w:bidi="ar-SA"/>
              </w:rPr>
              <w:t>月</w:t>
            </w:r>
            <w:r>
              <w:rPr>
                <w:rFonts w:hint="eastAsia" w:ascii="宋体" w:hAnsi="宋体" w:eastAsia="宋体" w:cs="宋体"/>
                <w:color w:val="auto"/>
                <w:spacing w:val="0"/>
                <w:kern w:val="0"/>
                <w:sz w:val="21"/>
                <w:szCs w:val="21"/>
                <w:highlight w:val="none"/>
                <w:u w:val="single"/>
                <w:lang w:val="en-US" w:eastAsia="zh-CN" w:bidi="ar-SA"/>
              </w:rPr>
              <w:t xml:space="preserve"> 3 </w:t>
            </w:r>
            <w:r>
              <w:rPr>
                <w:rFonts w:hint="eastAsia" w:ascii="宋体" w:hAnsi="宋体" w:eastAsia="宋体" w:cs="宋体"/>
                <w:color w:val="auto"/>
                <w:spacing w:val="0"/>
                <w:kern w:val="0"/>
                <w:sz w:val="21"/>
                <w:szCs w:val="21"/>
                <w:highlight w:val="none"/>
                <w:lang w:val="en-US" w:eastAsia="zh-CN" w:bidi="ar-SA"/>
              </w:rPr>
              <w:t>日</w:t>
            </w:r>
            <w:r>
              <w:rPr>
                <w:rFonts w:hint="eastAsia" w:ascii="宋体" w:hAnsi="宋体" w:eastAsia="宋体" w:cs="宋体"/>
                <w:color w:val="auto"/>
                <w:spacing w:val="0"/>
                <w:kern w:val="0"/>
                <w:sz w:val="21"/>
                <w:szCs w:val="21"/>
                <w:highlight w:val="none"/>
                <w:u w:val="single"/>
                <w:lang w:val="en-US" w:eastAsia="zh-CN" w:bidi="ar-SA"/>
              </w:rPr>
              <w:t xml:space="preserve"> 9 </w:t>
            </w:r>
            <w:r>
              <w:rPr>
                <w:rFonts w:hint="eastAsia" w:ascii="宋体" w:hAnsi="宋体" w:eastAsia="宋体" w:cs="宋体"/>
                <w:color w:val="auto"/>
                <w:spacing w:val="0"/>
                <w:kern w:val="0"/>
                <w:sz w:val="21"/>
                <w:szCs w:val="21"/>
                <w:highlight w:val="none"/>
                <w:lang w:val="en-US" w:eastAsia="zh-CN" w:bidi="ar-SA"/>
              </w:rPr>
              <w:t>时</w:t>
            </w:r>
            <w:r>
              <w:rPr>
                <w:rFonts w:hint="eastAsia" w:ascii="宋体" w:hAnsi="宋体" w:eastAsia="宋体" w:cs="宋体"/>
                <w:color w:val="auto"/>
                <w:spacing w:val="0"/>
                <w:kern w:val="0"/>
                <w:sz w:val="21"/>
                <w:szCs w:val="21"/>
                <w:highlight w:val="none"/>
                <w:u w:val="single"/>
                <w:lang w:val="en-US" w:eastAsia="zh-CN" w:bidi="ar-SA"/>
              </w:rPr>
              <w:t xml:space="preserve"> 00 </w:t>
            </w:r>
            <w:r>
              <w:rPr>
                <w:rFonts w:hint="eastAsia" w:ascii="宋体" w:hAnsi="宋体" w:eastAsia="宋体" w:cs="宋体"/>
                <w:color w:val="auto"/>
                <w:spacing w:val="0"/>
                <w:kern w:val="0"/>
                <w:sz w:val="21"/>
                <w:szCs w:val="21"/>
                <w:highlight w:val="none"/>
                <w:lang w:val="en-US" w:eastAsia="zh-CN" w:bidi="ar-SA"/>
              </w:rPr>
              <w:t>分至</w:t>
            </w:r>
            <w:r>
              <w:rPr>
                <w:rFonts w:hint="eastAsia" w:ascii="宋体" w:hAnsi="宋体" w:eastAsia="宋体" w:cs="宋体"/>
                <w:color w:val="auto"/>
                <w:spacing w:val="0"/>
                <w:kern w:val="0"/>
                <w:sz w:val="21"/>
                <w:szCs w:val="21"/>
                <w:highlight w:val="none"/>
                <w:u w:val="single"/>
                <w:lang w:val="en-US" w:eastAsia="zh-CN" w:bidi="ar-SA"/>
              </w:rPr>
              <w:t>2026</w:t>
            </w:r>
            <w:r>
              <w:rPr>
                <w:rFonts w:hint="eastAsia" w:ascii="宋体" w:hAnsi="宋体" w:eastAsia="宋体" w:cs="宋体"/>
                <w:color w:val="auto"/>
                <w:spacing w:val="0"/>
                <w:kern w:val="0"/>
                <w:sz w:val="21"/>
                <w:szCs w:val="21"/>
                <w:highlight w:val="none"/>
                <w:lang w:val="en-US" w:eastAsia="zh-CN" w:bidi="ar-SA"/>
              </w:rPr>
              <w:t>年</w:t>
            </w:r>
            <w:r>
              <w:rPr>
                <w:rFonts w:hint="eastAsia" w:ascii="宋体" w:hAnsi="宋体" w:eastAsia="宋体" w:cs="宋体"/>
                <w:color w:val="auto"/>
                <w:spacing w:val="0"/>
                <w:kern w:val="0"/>
                <w:sz w:val="21"/>
                <w:szCs w:val="21"/>
                <w:highlight w:val="none"/>
                <w:u w:val="single"/>
                <w:lang w:val="en-US" w:eastAsia="zh-CN" w:bidi="ar-SA"/>
              </w:rPr>
              <w:t xml:space="preserve"> 6 </w:t>
            </w:r>
            <w:r>
              <w:rPr>
                <w:rFonts w:hint="eastAsia" w:ascii="宋体" w:hAnsi="宋体" w:eastAsia="宋体" w:cs="宋体"/>
                <w:color w:val="auto"/>
                <w:spacing w:val="0"/>
                <w:kern w:val="0"/>
                <w:sz w:val="21"/>
                <w:szCs w:val="21"/>
                <w:highlight w:val="none"/>
                <w:lang w:val="en-US" w:eastAsia="zh-CN" w:bidi="ar-SA"/>
              </w:rPr>
              <w:t>月</w:t>
            </w:r>
            <w:r>
              <w:rPr>
                <w:rFonts w:hint="eastAsia" w:ascii="宋体" w:hAnsi="宋体" w:eastAsia="宋体" w:cs="宋体"/>
                <w:color w:val="auto"/>
                <w:spacing w:val="0"/>
                <w:kern w:val="0"/>
                <w:sz w:val="21"/>
                <w:szCs w:val="21"/>
                <w:highlight w:val="none"/>
                <w:u w:val="single"/>
                <w:lang w:val="en-US" w:eastAsia="zh-CN" w:bidi="ar-SA"/>
              </w:rPr>
              <w:t xml:space="preserve"> 3 </w:t>
            </w:r>
            <w:r>
              <w:rPr>
                <w:rFonts w:hint="eastAsia" w:ascii="宋体" w:hAnsi="宋体" w:eastAsia="宋体" w:cs="宋体"/>
                <w:color w:val="auto"/>
                <w:spacing w:val="0"/>
                <w:kern w:val="0"/>
                <w:sz w:val="21"/>
                <w:szCs w:val="21"/>
                <w:highlight w:val="none"/>
                <w:lang w:val="en-US" w:eastAsia="zh-CN" w:bidi="ar-SA"/>
              </w:rPr>
              <w:t>日</w:t>
            </w:r>
            <w:r>
              <w:rPr>
                <w:rFonts w:hint="eastAsia" w:ascii="宋体" w:hAnsi="宋体" w:eastAsia="宋体" w:cs="宋体"/>
                <w:color w:val="auto"/>
                <w:spacing w:val="0"/>
                <w:kern w:val="0"/>
                <w:sz w:val="21"/>
                <w:szCs w:val="21"/>
                <w:highlight w:val="none"/>
                <w:u w:val="single"/>
                <w:lang w:val="en-US" w:eastAsia="zh-CN" w:bidi="ar-SA"/>
              </w:rPr>
              <w:t xml:space="preserve"> 9 </w:t>
            </w:r>
            <w:r>
              <w:rPr>
                <w:rFonts w:hint="eastAsia" w:ascii="宋体" w:hAnsi="宋体" w:eastAsia="宋体" w:cs="宋体"/>
                <w:color w:val="auto"/>
                <w:spacing w:val="0"/>
                <w:kern w:val="0"/>
                <w:sz w:val="21"/>
                <w:szCs w:val="21"/>
                <w:highlight w:val="none"/>
                <w:lang w:val="en-US" w:eastAsia="zh-CN" w:bidi="ar-SA"/>
              </w:rPr>
              <w:t>时</w:t>
            </w:r>
            <w:r>
              <w:rPr>
                <w:rFonts w:hint="eastAsia" w:ascii="宋体" w:hAnsi="宋体" w:eastAsia="宋体" w:cs="宋体"/>
                <w:color w:val="auto"/>
                <w:spacing w:val="0"/>
                <w:kern w:val="0"/>
                <w:sz w:val="21"/>
                <w:szCs w:val="21"/>
                <w:highlight w:val="none"/>
                <w:u w:val="single"/>
                <w:lang w:val="en-US" w:eastAsia="zh-CN" w:bidi="ar-SA"/>
              </w:rPr>
              <w:t xml:space="preserve"> 30 </w:t>
            </w:r>
            <w:r>
              <w:rPr>
                <w:rFonts w:hint="eastAsia" w:ascii="宋体" w:hAnsi="宋体" w:eastAsia="宋体" w:cs="宋体"/>
                <w:color w:val="auto"/>
                <w:spacing w:val="0"/>
                <w:kern w:val="0"/>
                <w:sz w:val="21"/>
                <w:szCs w:val="21"/>
                <w:highlight w:val="none"/>
                <w:lang w:val="en-US" w:eastAsia="zh-CN" w:bidi="ar-SA"/>
              </w:rPr>
              <w:t>分</w:t>
            </w:r>
          </w:p>
        </w:tc>
      </w:tr>
      <w:tr w14:paraId="475F16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5E955C8C">
            <w:pPr>
              <w:pStyle w:val="30"/>
              <w:keepNext w:val="0"/>
              <w:keepLines w:val="0"/>
              <w:pageBreakBefore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rPr>
              <w:t>8</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1CCFD90F">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投标相关资料（如有）</w:t>
            </w:r>
          </w:p>
          <w:p w14:paraId="651A3B91">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lang w:val="en-US" w:eastAsia="zh-CN" w:bidi="ar-SA"/>
              </w:rPr>
              <w:t>递交地点</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E33005A">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递交场所：韶关市公共资源交易中心</w:t>
            </w:r>
          </w:p>
          <w:p w14:paraId="164B0D89">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snapToGrid w:val="0"/>
                <w:color w:val="auto"/>
                <w:kern w:val="0"/>
                <w:sz w:val="21"/>
                <w:szCs w:val="21"/>
                <w:highlight w:val="none"/>
              </w:rPr>
              <w:t>地址：广东省韶关市武江区西联镇，具体房间号以当日现场通知为准。</w:t>
            </w:r>
          </w:p>
        </w:tc>
      </w:tr>
      <w:tr w14:paraId="2FFDB9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0F04985">
            <w:pPr>
              <w:pStyle w:val="30"/>
              <w:keepNext w:val="0"/>
              <w:keepLines w:val="0"/>
              <w:pageBreakBefore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rPr>
              <w:t>9</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150034F6">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lang w:val="en-US" w:eastAsia="zh-CN" w:bidi="ar-SA"/>
              </w:rPr>
              <w:t>开标时间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3FF768E3">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kern w:val="0"/>
                <w:sz w:val="21"/>
                <w:szCs w:val="21"/>
                <w:highlight w:val="none"/>
                <w:u w:val="single"/>
                <w:lang w:val="en-US" w:eastAsia="zh-CN" w:bidi="ar-SA"/>
              </w:rPr>
              <w:t>2026</w:t>
            </w:r>
            <w:r>
              <w:rPr>
                <w:rFonts w:hint="eastAsia" w:ascii="宋体" w:hAnsi="宋体" w:eastAsia="宋体" w:cs="宋体"/>
                <w:snapToGrid w:val="0"/>
                <w:color w:val="auto"/>
                <w:spacing w:val="0"/>
                <w:kern w:val="0"/>
                <w:sz w:val="21"/>
                <w:szCs w:val="21"/>
                <w:highlight w:val="none"/>
                <w:lang w:val="en-US" w:eastAsia="zh-CN" w:bidi="ar-SA"/>
              </w:rPr>
              <w:t>年</w:t>
            </w:r>
            <w:r>
              <w:rPr>
                <w:rFonts w:hint="eastAsia" w:ascii="宋体" w:hAnsi="宋体" w:eastAsia="宋体" w:cs="宋体"/>
                <w:color w:val="auto"/>
                <w:spacing w:val="0"/>
                <w:kern w:val="0"/>
                <w:sz w:val="21"/>
                <w:szCs w:val="21"/>
                <w:highlight w:val="none"/>
                <w:u w:val="single"/>
                <w:lang w:val="en-US" w:eastAsia="zh-CN" w:bidi="ar-SA"/>
              </w:rPr>
              <w:t xml:space="preserve"> 6 </w:t>
            </w:r>
            <w:r>
              <w:rPr>
                <w:rFonts w:hint="eastAsia" w:ascii="宋体" w:hAnsi="宋体" w:eastAsia="宋体" w:cs="宋体"/>
                <w:color w:val="auto"/>
                <w:spacing w:val="0"/>
                <w:kern w:val="0"/>
                <w:sz w:val="21"/>
                <w:szCs w:val="21"/>
                <w:highlight w:val="none"/>
                <w:lang w:val="en-US" w:eastAsia="zh-CN" w:bidi="ar-SA"/>
              </w:rPr>
              <w:t>月</w:t>
            </w:r>
            <w:r>
              <w:rPr>
                <w:rFonts w:hint="eastAsia" w:ascii="宋体" w:hAnsi="宋体" w:eastAsia="宋体" w:cs="宋体"/>
                <w:color w:val="auto"/>
                <w:spacing w:val="0"/>
                <w:kern w:val="0"/>
                <w:sz w:val="21"/>
                <w:szCs w:val="21"/>
                <w:highlight w:val="none"/>
                <w:u w:val="single"/>
                <w:lang w:val="en-US" w:eastAsia="zh-CN" w:bidi="ar-SA"/>
              </w:rPr>
              <w:t xml:space="preserve"> 3 </w:t>
            </w:r>
            <w:r>
              <w:rPr>
                <w:rFonts w:hint="eastAsia" w:ascii="宋体" w:hAnsi="宋体" w:eastAsia="宋体" w:cs="宋体"/>
                <w:color w:val="auto"/>
                <w:spacing w:val="0"/>
                <w:kern w:val="0"/>
                <w:sz w:val="21"/>
                <w:szCs w:val="21"/>
                <w:highlight w:val="none"/>
                <w:lang w:val="en-US" w:eastAsia="zh-CN" w:bidi="ar-SA"/>
              </w:rPr>
              <w:t>日</w:t>
            </w:r>
            <w:r>
              <w:rPr>
                <w:rFonts w:hint="eastAsia" w:ascii="宋体" w:hAnsi="宋体" w:eastAsia="宋体" w:cs="宋体"/>
                <w:color w:val="auto"/>
                <w:spacing w:val="0"/>
                <w:kern w:val="0"/>
                <w:sz w:val="21"/>
                <w:szCs w:val="21"/>
                <w:highlight w:val="none"/>
                <w:u w:val="single"/>
                <w:lang w:val="en-US" w:eastAsia="zh-CN" w:bidi="ar-SA"/>
              </w:rPr>
              <w:t xml:space="preserve"> 9 </w:t>
            </w:r>
            <w:r>
              <w:rPr>
                <w:rFonts w:hint="eastAsia" w:ascii="宋体" w:hAnsi="宋体" w:eastAsia="宋体" w:cs="宋体"/>
                <w:color w:val="auto"/>
                <w:spacing w:val="0"/>
                <w:kern w:val="0"/>
                <w:sz w:val="21"/>
                <w:szCs w:val="21"/>
                <w:highlight w:val="none"/>
                <w:lang w:val="en-US" w:eastAsia="zh-CN" w:bidi="ar-SA"/>
              </w:rPr>
              <w:t>时</w:t>
            </w:r>
            <w:r>
              <w:rPr>
                <w:rFonts w:hint="eastAsia" w:ascii="宋体" w:hAnsi="宋体" w:eastAsia="宋体" w:cs="宋体"/>
                <w:color w:val="auto"/>
                <w:spacing w:val="0"/>
                <w:kern w:val="0"/>
                <w:sz w:val="21"/>
                <w:szCs w:val="21"/>
                <w:highlight w:val="none"/>
                <w:u w:val="single"/>
                <w:lang w:val="en-US" w:eastAsia="zh-CN" w:bidi="ar-SA"/>
              </w:rPr>
              <w:t xml:space="preserve"> 30 </w:t>
            </w:r>
            <w:r>
              <w:rPr>
                <w:rFonts w:hint="eastAsia" w:ascii="宋体" w:hAnsi="宋体" w:eastAsia="宋体" w:cs="宋体"/>
                <w:color w:val="auto"/>
                <w:spacing w:val="0"/>
                <w:kern w:val="0"/>
                <w:sz w:val="21"/>
                <w:szCs w:val="21"/>
                <w:highlight w:val="none"/>
                <w:lang w:val="en-US" w:eastAsia="zh-CN" w:bidi="ar-SA"/>
              </w:rPr>
              <w:t>分</w:t>
            </w:r>
          </w:p>
        </w:tc>
      </w:tr>
      <w:tr w14:paraId="48C56B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4" w:hRule="atLeas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58C4CF94">
            <w:pPr>
              <w:pStyle w:val="30"/>
              <w:keepNext w:val="0"/>
              <w:keepLines w:val="0"/>
              <w:pageBreakBefore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rPr>
              <w:t>10</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7E981555">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lang w:val="en-US" w:eastAsia="zh-CN" w:bidi="ar-SA"/>
              </w:rPr>
              <w:t>开标地点</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A19338A">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snapToGrid w:val="0"/>
                <w:color w:val="auto"/>
                <w:spacing w:val="0"/>
                <w:kern w:val="0"/>
                <w:sz w:val="21"/>
                <w:szCs w:val="21"/>
                <w:highlight w:val="none"/>
                <w:lang w:val="en-US" w:eastAsia="zh-CN" w:bidi="ar-SA"/>
              </w:rPr>
            </w:pPr>
            <w:r>
              <w:rPr>
                <w:rFonts w:hint="eastAsia" w:ascii="宋体" w:hAnsi="宋体" w:eastAsia="宋体" w:cs="宋体"/>
                <w:snapToGrid w:val="0"/>
                <w:color w:val="auto"/>
                <w:spacing w:val="0"/>
                <w:kern w:val="0"/>
                <w:sz w:val="21"/>
                <w:szCs w:val="21"/>
                <w:highlight w:val="none"/>
                <w:lang w:val="en-US" w:eastAsia="zh-CN" w:bidi="ar-SA"/>
              </w:rPr>
              <w:t>开标场所：韶关市公共资源交易中心</w:t>
            </w:r>
          </w:p>
          <w:p w14:paraId="7AC26A8B">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lang w:val="en-US" w:eastAsia="zh-CN" w:bidi="ar-SA"/>
              </w:rPr>
              <w:t>地址：广东省韶关市武江区西联镇，具体房间号以当日现场通知为准。</w:t>
            </w:r>
          </w:p>
        </w:tc>
      </w:tr>
      <w:tr w14:paraId="0D6C70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38" w:hRule="atLeast"/>
        </w:trPr>
        <w:tc>
          <w:tcPr>
            <w:tcW w:w="1721" w:type="dxa"/>
            <w:gridSpan w:val="2"/>
            <w:tcBorders>
              <w:top w:val="single" w:color="080000" w:sz="4" w:space="0"/>
              <w:left w:val="single" w:color="080000" w:sz="4" w:space="0"/>
              <w:bottom w:val="single" w:color="080000" w:sz="4" w:space="0"/>
              <w:right w:val="single" w:color="080000" w:sz="4" w:space="0"/>
            </w:tcBorders>
            <w:noWrap w:val="0"/>
            <w:vAlign w:val="center"/>
          </w:tcPr>
          <w:p w14:paraId="5FB49C45">
            <w:pPr>
              <w:pStyle w:val="30"/>
              <w:keepNext w:val="0"/>
              <w:keepLines w:val="0"/>
              <w:pageBreakBefore w:val="0"/>
              <w:suppressLineNumbers w:val="0"/>
              <w:kinsoku/>
              <w:wordWrap w:val="0"/>
              <w:overflowPunct/>
              <w:topLinePunct/>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lang w:val="en-US" w:eastAsia="zh-CN"/>
              </w:rPr>
              <w:t>备注</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564578BC">
            <w:pPr>
              <w:pStyle w:val="30"/>
              <w:keepNext w:val="0"/>
              <w:keepLines w:val="0"/>
              <w:pageBreakBefore w:val="0"/>
              <w:suppressLineNumbers w:val="0"/>
              <w:kinsoku/>
              <w:wordWrap w:val="0"/>
              <w:overflowPunct/>
              <w:topLinePunct/>
              <w:bidi w:val="0"/>
              <w:adjustRightInd w:val="0"/>
              <w:snapToGrid w:val="0"/>
              <w:spacing w:before="0" w:beforeAutospacing="0" w:after="0" w:afterAutospacing="0" w:line="500" w:lineRule="exact"/>
              <w:ind w:left="210" w:leftChars="100" w:right="210" w:rightChars="100" w:firstLine="0" w:firstLineChars="0"/>
              <w:jc w:val="left"/>
              <w:rPr>
                <w:rFonts w:hint="eastAsia" w:ascii="宋体" w:hAnsi="宋体" w:eastAsia="宋体" w:cs="宋体"/>
                <w:color w:val="auto"/>
                <w:spacing w:val="0"/>
                <w:sz w:val="21"/>
                <w:szCs w:val="21"/>
                <w:highlight w:val="none"/>
              </w:rPr>
            </w:pPr>
            <w:r>
              <w:rPr>
                <w:rFonts w:hint="eastAsia" w:ascii="宋体" w:hAnsi="宋体" w:eastAsia="宋体" w:cs="宋体"/>
                <w:snapToGrid w:val="0"/>
                <w:color w:val="auto"/>
                <w:spacing w:val="0"/>
                <w:kern w:val="0"/>
                <w:sz w:val="21"/>
                <w:szCs w:val="21"/>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15956FA3">
      <w:pPr>
        <w:keepNext w:val="0"/>
        <w:keepLines w:val="0"/>
        <w:pageBreakBefore w:val="0"/>
        <w:tabs>
          <w:tab w:val="left" w:pos="8820"/>
        </w:tabs>
        <w:kinsoku/>
        <w:wordWrap w:val="0"/>
        <w:overflowPunct/>
        <w:topLinePunct/>
        <w:bidi w:val="0"/>
        <w:rPr>
          <w:rFonts w:hint="eastAsia" w:ascii="宋体" w:hAnsi="宋体" w:eastAsia="宋体" w:cs="宋体"/>
          <w:b w:val="0"/>
          <w:bCs w:val="0"/>
          <w:color w:val="auto"/>
          <w:spacing w:val="0"/>
          <w:sz w:val="24"/>
          <w:szCs w:val="24"/>
          <w:highlight w:val="none"/>
        </w:rPr>
        <w:sectPr>
          <w:headerReference r:id="rId5" w:type="default"/>
          <w:footerReference r:id="rId6"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7C86248F">
      <w:pPr>
        <w:keepNext w:val="0"/>
        <w:keepLines w:val="0"/>
        <w:pageBreakBefore w:val="0"/>
        <w:kinsoku/>
        <w:wordWrap w:val="0"/>
        <w:overflowPunct/>
        <w:topLinePunct/>
        <w:bidi w:val="0"/>
        <w:jc w:val="center"/>
        <w:outlineLvl w:val="1"/>
        <w:rPr>
          <w:rFonts w:hint="eastAsia" w:ascii="宋体" w:hAnsi="宋体" w:eastAsia="宋体" w:cs="宋体"/>
          <w:color w:val="auto"/>
          <w:spacing w:val="0"/>
          <w:sz w:val="28"/>
          <w:szCs w:val="28"/>
          <w:highlight w:val="none"/>
        </w:rPr>
      </w:pPr>
      <w:bookmarkStart w:id="12" w:name="_Toc11279"/>
      <w:r>
        <w:rPr>
          <w:rFonts w:hint="eastAsia" w:ascii="宋体" w:hAnsi="宋体" w:eastAsia="宋体" w:cs="宋体"/>
          <w:b/>
          <w:bCs/>
          <w:color w:val="auto"/>
          <w:spacing w:val="0"/>
          <w:sz w:val="28"/>
          <w:szCs w:val="28"/>
          <w:highlight w:val="none"/>
        </w:rPr>
        <w:t>第三节</w:t>
      </w:r>
      <w:r>
        <w:rPr>
          <w:rFonts w:hint="eastAsia" w:ascii="宋体" w:hAnsi="宋体" w:eastAsia="宋体" w:cs="宋体"/>
          <w:color w:val="auto"/>
          <w:spacing w:val="0"/>
          <w:sz w:val="28"/>
          <w:szCs w:val="28"/>
          <w:highlight w:val="none"/>
        </w:rPr>
        <w:t xml:space="preserve"> </w:t>
      </w:r>
      <w:r>
        <w:rPr>
          <w:rFonts w:hint="eastAsia" w:ascii="宋体" w:hAnsi="宋体" w:eastAsia="宋体" w:cs="宋体"/>
          <w:b/>
          <w:bCs/>
          <w:color w:val="auto"/>
          <w:spacing w:val="0"/>
          <w:sz w:val="28"/>
          <w:szCs w:val="28"/>
          <w:highlight w:val="none"/>
        </w:rPr>
        <w:t>投标人须知正文</w:t>
      </w:r>
      <w:bookmarkEnd w:id="12"/>
    </w:p>
    <w:p w14:paraId="73F7D8D2">
      <w:pPr>
        <w:pStyle w:val="6"/>
        <w:keepNext w:val="0"/>
        <w:keepLines w:val="0"/>
        <w:pageBreakBefore w:val="0"/>
        <w:kinsoku/>
        <w:wordWrap w:val="0"/>
        <w:overflowPunct/>
        <w:topLinePunct/>
        <w:bidi w:val="0"/>
        <w:spacing w:line="256" w:lineRule="auto"/>
        <w:rPr>
          <w:rFonts w:hint="eastAsia" w:ascii="宋体" w:hAnsi="宋体" w:eastAsia="宋体" w:cs="宋体"/>
          <w:color w:val="auto"/>
          <w:spacing w:val="0"/>
          <w:highlight w:val="none"/>
        </w:rPr>
      </w:pPr>
    </w:p>
    <w:p w14:paraId="18352CB2">
      <w:pPr>
        <w:pStyle w:val="6"/>
        <w:keepNext w:val="0"/>
        <w:keepLines w:val="0"/>
        <w:pageBreakBefore w:val="0"/>
        <w:kinsoku/>
        <w:wordWrap w:val="0"/>
        <w:overflowPunct/>
        <w:topLinePunct/>
        <w:bidi w:val="0"/>
        <w:spacing w:line="257" w:lineRule="auto"/>
        <w:rPr>
          <w:rFonts w:hint="eastAsia" w:ascii="宋体" w:hAnsi="宋体" w:eastAsia="宋体" w:cs="宋体"/>
          <w:color w:val="auto"/>
          <w:spacing w:val="0"/>
          <w:highlight w:val="none"/>
        </w:rPr>
      </w:pPr>
    </w:p>
    <w:p w14:paraId="228D2326">
      <w:pPr>
        <w:keepNext w:val="0"/>
        <w:keepLines w:val="0"/>
        <w:pageBreakBefore w:val="0"/>
        <w:widowControl/>
        <w:suppressLineNumbers w:val="0"/>
        <w:kinsoku/>
        <w:wordWrap w:val="0"/>
        <w:overflowPunct/>
        <w:topLinePunct/>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u w:val="single"/>
          <w:lang w:val="en-US" w:eastAsia="zh-CN"/>
        </w:rPr>
        <w:t>北江智算中心（机电）项目配电工程（电气）施工</w:t>
      </w:r>
      <w:r>
        <w:rPr>
          <w:rFonts w:hint="eastAsia" w:ascii="宋体" w:hAnsi="宋体" w:eastAsia="宋体" w:cs="宋体"/>
          <w:snapToGrid w:val="0"/>
          <w:color w:val="auto"/>
          <w:spacing w:val="0"/>
          <w:kern w:val="0"/>
          <w:sz w:val="24"/>
          <w:szCs w:val="24"/>
          <w:highlight w:val="none"/>
        </w:rPr>
        <w:t>经</w:t>
      </w:r>
      <w:r>
        <w:rPr>
          <w:rFonts w:hint="eastAsia" w:ascii="宋体" w:hAnsi="宋体" w:eastAsia="宋体" w:cs="宋体"/>
          <w:snapToGrid w:val="0"/>
          <w:color w:val="auto"/>
          <w:spacing w:val="0"/>
          <w:kern w:val="0"/>
          <w:sz w:val="24"/>
          <w:szCs w:val="24"/>
          <w:highlight w:val="none"/>
          <w:u w:val="single"/>
          <w:lang w:val="en-US" w:eastAsia="zh-CN"/>
        </w:rPr>
        <w:t>韶关市武江区发展和改革局</w:t>
      </w:r>
      <w:r>
        <w:rPr>
          <w:rFonts w:hint="eastAsia" w:ascii="宋体" w:hAnsi="宋体" w:eastAsia="宋体" w:cs="宋体"/>
          <w:snapToGrid w:val="0"/>
          <w:color w:val="auto"/>
          <w:spacing w:val="0"/>
          <w:kern w:val="0"/>
          <w:sz w:val="24"/>
          <w:szCs w:val="24"/>
          <w:highlight w:val="none"/>
          <w:u w:val="none"/>
        </w:rPr>
        <w:t>以</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color w:val="auto"/>
          <w:spacing w:val="0"/>
          <w:sz w:val="24"/>
          <w:szCs w:val="24"/>
          <w:highlight w:val="none"/>
          <w:u w:val="single"/>
          <w:lang w:val="en-US" w:eastAsia="zh-CN"/>
        </w:rPr>
        <w:t>广东省企业投资项目备案证</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none"/>
        </w:rPr>
        <w:t>批准建设备案，项目批准文号为</w:t>
      </w:r>
      <w:r>
        <w:rPr>
          <w:rFonts w:hint="eastAsia" w:ascii="宋体" w:hAnsi="宋体" w:eastAsia="宋体" w:cs="宋体"/>
          <w:snapToGrid w:val="0"/>
          <w:color w:val="auto"/>
          <w:spacing w:val="0"/>
          <w:kern w:val="0"/>
          <w:sz w:val="24"/>
          <w:szCs w:val="24"/>
          <w:highlight w:val="none"/>
          <w:u w:val="none"/>
          <w:lang w:val="en-US" w:eastAsia="zh-CN"/>
        </w:rPr>
        <w:t xml:space="preserve"> </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single"/>
          <w:lang w:val="en-US" w:eastAsia="zh-CN"/>
        </w:rPr>
        <w:t xml:space="preserve"> </w:t>
      </w:r>
      <w:r>
        <w:rPr>
          <w:rFonts w:hint="eastAsia" w:ascii="宋体" w:hAnsi="宋体" w:eastAsia="宋体" w:cs="宋体"/>
          <w:snapToGrid w:val="0"/>
          <w:color w:val="auto"/>
          <w:spacing w:val="0"/>
          <w:kern w:val="0"/>
          <w:sz w:val="24"/>
          <w:szCs w:val="24"/>
          <w:highlight w:val="none"/>
          <w:u w:val="none"/>
        </w:rPr>
        <w:t>，</w:t>
      </w:r>
      <w:r>
        <w:rPr>
          <w:rFonts w:hint="eastAsia" w:ascii="宋体" w:hAnsi="宋体" w:eastAsia="宋体" w:cs="宋体"/>
          <w:snapToGrid w:val="0"/>
          <w:color w:val="auto"/>
          <w:spacing w:val="0"/>
          <w:kern w:val="0"/>
          <w:sz w:val="24"/>
          <w:szCs w:val="24"/>
          <w:highlight w:val="none"/>
        </w:rPr>
        <w:t>项目代码为</w:t>
      </w:r>
      <w:r>
        <w:rPr>
          <w:rFonts w:hint="eastAsia" w:ascii="宋体" w:hAnsi="宋体" w:eastAsia="宋体" w:cs="宋体"/>
          <w:snapToGrid w:val="0"/>
          <w:color w:val="auto"/>
          <w:spacing w:val="0"/>
          <w:kern w:val="0"/>
          <w:sz w:val="24"/>
          <w:szCs w:val="24"/>
          <w:highlight w:val="none"/>
          <w:u w:val="single"/>
          <w:lang w:val="en-US" w:eastAsia="zh-CN"/>
        </w:rPr>
        <w:t>2401-440203-04-05-656817</w:t>
      </w:r>
      <w:r>
        <w:rPr>
          <w:rFonts w:hint="eastAsia" w:ascii="宋体" w:hAnsi="宋体" w:eastAsia="宋体" w:cs="宋体"/>
          <w:snapToGrid w:val="0"/>
          <w:color w:val="auto"/>
          <w:spacing w:val="0"/>
          <w:kern w:val="0"/>
          <w:sz w:val="24"/>
          <w:szCs w:val="24"/>
          <w:highlight w:val="none"/>
        </w:rPr>
        <w:t>。本项目业主为</w:t>
      </w:r>
      <w:r>
        <w:rPr>
          <w:rFonts w:hint="eastAsia" w:ascii="宋体" w:hAnsi="宋体" w:eastAsia="宋体" w:cs="宋体"/>
          <w:snapToGrid w:val="0"/>
          <w:color w:val="auto"/>
          <w:spacing w:val="0"/>
          <w:kern w:val="0"/>
          <w:sz w:val="24"/>
          <w:szCs w:val="24"/>
          <w:highlight w:val="none"/>
          <w:u w:val="single"/>
          <w:lang w:val="en-US" w:eastAsia="zh-CN"/>
        </w:rPr>
        <w:t>广东韶关数据产业投资发展有限公司</w:t>
      </w:r>
      <w:r>
        <w:rPr>
          <w:rFonts w:hint="eastAsia" w:ascii="宋体" w:hAnsi="宋体" w:eastAsia="宋体" w:cs="宋体"/>
          <w:snapToGrid w:val="0"/>
          <w:color w:val="auto"/>
          <w:spacing w:val="0"/>
          <w:kern w:val="0"/>
          <w:sz w:val="24"/>
          <w:szCs w:val="24"/>
          <w:highlight w:val="none"/>
        </w:rPr>
        <w:t>，建设资金来自</w:t>
      </w:r>
      <w:r>
        <w:rPr>
          <w:rFonts w:hint="eastAsia" w:ascii="宋体" w:hAnsi="宋体" w:eastAsia="宋体" w:cs="宋体"/>
          <w:snapToGrid w:val="0"/>
          <w:color w:val="auto"/>
          <w:spacing w:val="0"/>
          <w:kern w:val="0"/>
          <w:sz w:val="24"/>
          <w:szCs w:val="24"/>
          <w:highlight w:val="none"/>
          <w:u w:val="single"/>
          <w:lang w:val="en-US" w:eastAsia="zh-CN"/>
        </w:rPr>
        <w:t>项目贷及单位自筹</w:t>
      </w:r>
      <w:r>
        <w:rPr>
          <w:rFonts w:hint="eastAsia" w:ascii="宋体" w:hAnsi="宋体" w:eastAsia="宋体" w:cs="宋体"/>
          <w:snapToGrid w:val="0"/>
          <w:color w:val="auto"/>
          <w:spacing w:val="0"/>
          <w:kern w:val="0"/>
          <w:sz w:val="24"/>
          <w:szCs w:val="24"/>
          <w:highlight w:val="none"/>
          <w:u w:val="none"/>
          <w:lang w:eastAsia="zh-CN"/>
        </w:rPr>
        <w:t>，</w:t>
      </w:r>
      <w:r>
        <w:rPr>
          <w:rFonts w:hint="eastAsia" w:ascii="宋体" w:hAnsi="宋体" w:eastAsia="宋体" w:cs="宋体"/>
          <w:snapToGrid w:val="0"/>
          <w:color w:val="auto"/>
          <w:spacing w:val="0"/>
          <w:kern w:val="0"/>
          <w:sz w:val="24"/>
          <w:szCs w:val="24"/>
          <w:highlight w:val="none"/>
        </w:rPr>
        <w:t>出资比例为</w:t>
      </w:r>
      <w:r>
        <w:rPr>
          <w:rFonts w:hint="eastAsia" w:ascii="宋体" w:hAnsi="宋体" w:eastAsia="宋体" w:cs="宋体"/>
          <w:snapToGrid w:val="0"/>
          <w:color w:val="auto"/>
          <w:spacing w:val="0"/>
          <w:kern w:val="0"/>
          <w:sz w:val="24"/>
          <w:szCs w:val="24"/>
          <w:highlight w:val="none"/>
          <w:u w:val="single"/>
        </w:rPr>
        <w:t>100%</w:t>
      </w:r>
      <w:r>
        <w:rPr>
          <w:rFonts w:hint="eastAsia" w:ascii="宋体" w:hAnsi="宋体" w:eastAsia="宋体" w:cs="宋体"/>
          <w:snapToGrid w:val="0"/>
          <w:color w:val="auto"/>
          <w:spacing w:val="0"/>
          <w:kern w:val="0"/>
          <w:sz w:val="24"/>
          <w:szCs w:val="24"/>
          <w:highlight w:val="none"/>
          <w:lang w:eastAsia="zh-CN"/>
        </w:rPr>
        <w:t>。</w:t>
      </w:r>
      <w:r>
        <w:rPr>
          <w:rFonts w:hint="eastAsia" w:ascii="宋体" w:hAnsi="宋体" w:eastAsia="宋体" w:cs="宋体"/>
          <w:snapToGrid w:val="0"/>
          <w:color w:val="auto"/>
          <w:spacing w:val="0"/>
          <w:kern w:val="0"/>
          <w:sz w:val="24"/>
          <w:szCs w:val="24"/>
          <w:highlight w:val="none"/>
        </w:rPr>
        <w:t>招标人为</w:t>
      </w:r>
      <w:r>
        <w:rPr>
          <w:rFonts w:hint="eastAsia" w:ascii="宋体" w:hAnsi="宋体" w:eastAsia="宋体" w:cs="宋体"/>
          <w:snapToGrid w:val="0"/>
          <w:color w:val="auto"/>
          <w:spacing w:val="0"/>
          <w:kern w:val="0"/>
          <w:sz w:val="24"/>
          <w:szCs w:val="24"/>
          <w:highlight w:val="none"/>
          <w:u w:val="single"/>
          <w:lang w:val="en-US" w:eastAsia="zh-CN"/>
        </w:rPr>
        <w:t>广东韶关数据产业投资发展有限公司</w:t>
      </w:r>
      <w:r>
        <w:rPr>
          <w:rFonts w:hint="eastAsia" w:ascii="宋体" w:hAnsi="宋体" w:eastAsia="宋体" w:cs="宋体"/>
          <w:snapToGrid w:val="0"/>
          <w:color w:val="auto"/>
          <w:spacing w:val="0"/>
          <w:kern w:val="0"/>
          <w:sz w:val="24"/>
          <w:szCs w:val="24"/>
          <w:highlight w:val="none"/>
        </w:rPr>
        <w:t>，招标代理机构为</w:t>
      </w:r>
      <w:r>
        <w:rPr>
          <w:rFonts w:hint="eastAsia" w:ascii="宋体" w:hAnsi="宋体" w:eastAsia="宋体" w:cs="宋体"/>
          <w:color w:val="auto"/>
          <w:spacing w:val="0"/>
          <w:sz w:val="24"/>
          <w:szCs w:val="24"/>
          <w:highlight w:val="none"/>
          <w:u w:val="single"/>
          <w:lang w:val="en-US" w:eastAsia="zh-CN"/>
        </w:rPr>
        <w:t>韶关市君信招标代理有限公司</w:t>
      </w:r>
      <w:r>
        <w:rPr>
          <w:rFonts w:hint="eastAsia" w:ascii="宋体" w:hAnsi="宋体" w:eastAsia="宋体" w:cs="宋体"/>
          <w:snapToGrid w:val="0"/>
          <w:color w:val="auto"/>
          <w:spacing w:val="0"/>
          <w:kern w:val="0"/>
          <w:sz w:val="24"/>
          <w:szCs w:val="24"/>
          <w:highlight w:val="none"/>
        </w:rPr>
        <w:t>。项目已具备招标条件，现对该项目的</w:t>
      </w:r>
      <w:r>
        <w:rPr>
          <w:rFonts w:hint="eastAsia" w:ascii="宋体" w:hAnsi="宋体" w:eastAsia="宋体" w:cs="宋体"/>
          <w:snapToGrid w:val="0"/>
          <w:color w:val="auto"/>
          <w:spacing w:val="0"/>
          <w:kern w:val="0"/>
          <w:sz w:val="24"/>
          <w:szCs w:val="24"/>
          <w:highlight w:val="none"/>
          <w:u w:val="single"/>
        </w:rPr>
        <w:t>施工</w:t>
      </w:r>
      <w:r>
        <w:rPr>
          <w:rFonts w:hint="eastAsia" w:ascii="宋体" w:hAnsi="宋体" w:eastAsia="宋体" w:cs="宋体"/>
          <w:snapToGrid w:val="0"/>
          <w:color w:val="auto"/>
          <w:spacing w:val="0"/>
          <w:kern w:val="0"/>
          <w:sz w:val="24"/>
          <w:szCs w:val="24"/>
          <w:highlight w:val="none"/>
        </w:rPr>
        <w:t>进行公开招标。</w:t>
      </w:r>
    </w:p>
    <w:p w14:paraId="31995834">
      <w:pPr>
        <w:keepNext w:val="0"/>
        <w:keepLines w:val="0"/>
        <w:pageBreakBefore w:val="0"/>
        <w:widowControl/>
        <w:kinsoku/>
        <w:wordWrap w:val="0"/>
        <w:overflowPunct/>
        <w:topLinePunct/>
        <w:autoSpaceDE w:val="0"/>
        <w:autoSpaceDN w:val="0"/>
        <w:bidi w:val="0"/>
        <w:adjustRightInd w:val="0"/>
        <w:snapToGrid w:val="0"/>
        <w:spacing w:line="360" w:lineRule="auto"/>
        <w:ind w:left="496"/>
        <w:textAlignment w:val="baseline"/>
        <w:outlineLvl w:val="9"/>
        <w:rPr>
          <w:rFonts w:hint="eastAsia" w:ascii="宋体" w:hAnsi="宋体" w:eastAsia="宋体" w:cs="宋体"/>
          <w:color w:val="auto"/>
          <w:spacing w:val="0"/>
          <w:sz w:val="24"/>
          <w:szCs w:val="24"/>
          <w:highlight w:val="none"/>
        </w:rPr>
      </w:pPr>
      <w:bookmarkStart w:id="13" w:name="bookmark52"/>
      <w:bookmarkEnd w:id="13"/>
      <w:bookmarkStart w:id="14" w:name="bookmark73"/>
      <w:bookmarkEnd w:id="14"/>
      <w:bookmarkStart w:id="15" w:name="bookmark59"/>
      <w:bookmarkEnd w:id="15"/>
      <w:bookmarkStart w:id="16" w:name="_Toc15993"/>
      <w:r>
        <w:rPr>
          <w:rFonts w:hint="eastAsia" w:ascii="宋体" w:hAnsi="宋体" w:eastAsia="宋体" w:cs="宋体"/>
          <w:b/>
          <w:bCs/>
          <w:color w:val="auto"/>
          <w:spacing w:val="0"/>
          <w:sz w:val="24"/>
          <w:szCs w:val="24"/>
          <w:highlight w:val="none"/>
        </w:rPr>
        <w:t>1．项目概况、招标范围和标段划分、投标费用等</w:t>
      </w:r>
      <w:bookmarkEnd w:id="16"/>
    </w:p>
    <w:p w14:paraId="1DA0B01E">
      <w:pPr>
        <w:keepNext w:val="0"/>
        <w:keepLines w:val="0"/>
        <w:pageBreakBefore w:val="0"/>
        <w:widowControl/>
        <w:kinsoku/>
        <w:wordWrap w:val="0"/>
        <w:overflowPunct/>
        <w:topLinePunct/>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项目概况</w:t>
      </w:r>
    </w:p>
    <w:p w14:paraId="08B51A3B">
      <w:pPr>
        <w:keepNext w:val="0"/>
        <w:keepLines w:val="0"/>
        <w:pageBreakBefore w:val="0"/>
        <w:widowControl/>
        <w:kinsoku/>
        <w:wordWrap w:val="0"/>
        <w:overflowPunct/>
        <w:topLinePunct/>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建设地点：</w:t>
      </w:r>
      <w:r>
        <w:rPr>
          <w:rFonts w:hint="eastAsia" w:ascii="宋体" w:hAnsi="宋体" w:eastAsia="宋体" w:cs="宋体"/>
          <w:color w:val="auto"/>
          <w:spacing w:val="0"/>
          <w:sz w:val="24"/>
          <w:szCs w:val="24"/>
          <w:highlight w:val="none"/>
          <w:u w:val="single"/>
          <w:lang w:val="en-US" w:eastAsia="zh-CN"/>
        </w:rPr>
        <w:t>芙蓉变电站至粤港澳大湾区数据应用产业园I栋</w:t>
      </w:r>
      <w:r>
        <w:rPr>
          <w:rFonts w:hint="eastAsia" w:ascii="宋体" w:hAnsi="宋体" w:eastAsia="宋体" w:cs="宋体"/>
          <w:color w:val="auto"/>
          <w:spacing w:val="0"/>
          <w:sz w:val="24"/>
          <w:szCs w:val="24"/>
          <w:highlight w:val="none"/>
          <w:lang w:val="en-US" w:eastAsia="zh-CN"/>
        </w:rPr>
        <w:t>。</w:t>
      </w:r>
    </w:p>
    <w:p w14:paraId="00358CBF">
      <w:pPr>
        <w:keepNext w:val="0"/>
        <w:keepLines w:val="0"/>
        <w:pageBreakBefore w:val="0"/>
        <w:widowControl/>
        <w:kinsoku/>
        <w:wordWrap w:val="0"/>
        <w:overflowPunct/>
        <w:topLinePunct/>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建设内容和规模：</w:t>
      </w:r>
    </w:p>
    <w:p w14:paraId="6C402F90">
      <w:pPr>
        <w:keepNext w:val="0"/>
        <w:keepLines w:val="0"/>
        <w:pageBreakBefore w:val="0"/>
        <w:widowControl/>
        <w:kinsoku/>
        <w:wordWrap w:val="0"/>
        <w:overflowPunct/>
        <w:topLinePunct/>
        <w:autoSpaceDE w:val="0"/>
        <w:autoSpaceDN w:val="0"/>
        <w:bidi w:val="0"/>
        <w:adjustRightInd w:val="0"/>
        <w:snapToGrid w:val="0"/>
        <w:spacing w:line="360" w:lineRule="auto"/>
        <w:ind w:left="1436" w:leftChars="684" w:right="0" w:firstLine="0" w:firstLineChars="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color w:val="auto"/>
          <w:spacing w:val="0"/>
          <w:sz w:val="24"/>
          <w:szCs w:val="24"/>
          <w:highlight w:val="none"/>
          <w:u w:val="single"/>
          <w:lang w:val="en-US" w:eastAsia="zh-CN"/>
        </w:rPr>
        <w:t>（1）新敷设电缆FYZA-YJV22-8.7/15kV-3</w:t>
      </w:r>
      <w:r>
        <w:rPr>
          <w:rFonts w:hint="default" w:ascii="Arial" w:hAnsi="Arial" w:eastAsia="宋体" w:cs="Arial"/>
          <w:color w:val="auto"/>
          <w:spacing w:val="0"/>
          <w:sz w:val="24"/>
          <w:szCs w:val="24"/>
          <w:highlight w:val="none"/>
          <w:u w:val="single"/>
          <w:lang w:val="en-US" w:eastAsia="zh-CN"/>
        </w:rPr>
        <w:t>×</w:t>
      </w:r>
      <w:r>
        <w:rPr>
          <w:rFonts w:hint="eastAsia" w:ascii="宋体" w:hAnsi="宋体" w:eastAsia="宋体" w:cs="宋体"/>
          <w:color w:val="auto"/>
          <w:spacing w:val="0"/>
          <w:sz w:val="24"/>
          <w:szCs w:val="24"/>
          <w:highlight w:val="none"/>
          <w:u w:val="single"/>
          <w:lang w:val="en-US" w:eastAsia="zh-CN"/>
        </w:rPr>
        <w:t>400-4.188km。</w:t>
      </w:r>
    </w:p>
    <w:p w14:paraId="29F6E7FA">
      <w:pPr>
        <w:keepNext w:val="0"/>
        <w:keepLines w:val="0"/>
        <w:pageBreakBefore w:val="0"/>
        <w:widowControl/>
        <w:kinsoku/>
        <w:wordWrap w:val="0"/>
        <w:overflowPunct/>
        <w:topLinePunct/>
        <w:autoSpaceDE w:val="0"/>
        <w:autoSpaceDN w:val="0"/>
        <w:bidi w:val="0"/>
        <w:adjustRightInd w:val="0"/>
        <w:snapToGrid w:val="0"/>
        <w:spacing w:line="360" w:lineRule="auto"/>
        <w:ind w:left="1436" w:leftChars="684" w:right="0" w:firstLine="0" w:firstLineChars="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color w:val="auto"/>
          <w:spacing w:val="0"/>
          <w:sz w:val="24"/>
          <w:szCs w:val="24"/>
          <w:highlight w:val="none"/>
          <w:u w:val="single"/>
          <w:lang w:val="en-US" w:eastAsia="zh-CN"/>
        </w:rPr>
        <w:t>（2）新建3</w:t>
      </w:r>
      <w:r>
        <w:rPr>
          <w:rFonts w:hint="default" w:ascii="Arial" w:hAnsi="Arial" w:eastAsia="宋体" w:cs="Arial"/>
          <w:color w:val="auto"/>
          <w:spacing w:val="0"/>
          <w:sz w:val="24"/>
          <w:szCs w:val="24"/>
          <w:highlight w:val="none"/>
          <w:u w:val="single"/>
          <w:lang w:val="en-US" w:eastAsia="zh-CN"/>
        </w:rPr>
        <w:t>×</w:t>
      </w:r>
      <w:r>
        <w:rPr>
          <w:rFonts w:hint="eastAsia" w:ascii="宋体" w:hAnsi="宋体" w:eastAsia="宋体" w:cs="宋体"/>
          <w:color w:val="auto"/>
          <w:spacing w:val="0"/>
          <w:sz w:val="24"/>
          <w:szCs w:val="24"/>
          <w:highlight w:val="none"/>
          <w:u w:val="single"/>
          <w:lang w:val="en-US" w:eastAsia="zh-CN"/>
        </w:rPr>
        <w:t>400电缆中间头熔接9套(带防爆盒)，新建3</w:t>
      </w:r>
      <w:r>
        <w:rPr>
          <w:rFonts w:hint="default" w:ascii="Arial" w:hAnsi="Arial" w:eastAsia="宋体" w:cs="Arial"/>
          <w:color w:val="auto"/>
          <w:spacing w:val="0"/>
          <w:sz w:val="24"/>
          <w:szCs w:val="24"/>
          <w:highlight w:val="none"/>
          <w:u w:val="single"/>
          <w:lang w:val="en-US" w:eastAsia="zh-CN"/>
        </w:rPr>
        <w:t>×</w:t>
      </w:r>
      <w:r>
        <w:rPr>
          <w:rFonts w:hint="eastAsia" w:ascii="宋体" w:hAnsi="宋体" w:eastAsia="宋体" w:cs="宋体"/>
          <w:color w:val="auto"/>
          <w:spacing w:val="0"/>
          <w:sz w:val="24"/>
          <w:szCs w:val="24"/>
          <w:highlight w:val="none"/>
          <w:u w:val="single"/>
          <w:lang w:val="en-US" w:eastAsia="zh-CN"/>
        </w:rPr>
        <w:t>400户内电缆终端头2套。</w:t>
      </w:r>
    </w:p>
    <w:p w14:paraId="2F85EA06">
      <w:pPr>
        <w:keepNext w:val="0"/>
        <w:keepLines w:val="0"/>
        <w:pageBreakBefore w:val="0"/>
        <w:widowControl/>
        <w:kinsoku/>
        <w:wordWrap w:val="0"/>
        <w:overflowPunct/>
        <w:topLinePunct/>
        <w:autoSpaceDE w:val="0"/>
        <w:autoSpaceDN w:val="0"/>
        <w:bidi w:val="0"/>
        <w:adjustRightInd w:val="0"/>
        <w:snapToGrid w:val="0"/>
        <w:spacing w:line="360" w:lineRule="auto"/>
        <w:ind w:left="1436" w:leftChars="684" w:right="0" w:firstLine="0" w:firstLineChars="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color w:val="auto"/>
          <w:spacing w:val="0"/>
          <w:sz w:val="24"/>
          <w:szCs w:val="24"/>
          <w:highlight w:val="none"/>
          <w:u w:val="single"/>
          <w:lang w:val="en-US" w:eastAsia="zh-CN"/>
        </w:rPr>
        <w:t>（3）通道2.908km电缆敷设路径有其他运行的电缆;揭复盖板60m，电缆通道通管2.85km，电缆井清淤3m</w:t>
      </w:r>
      <w:r>
        <w:rPr>
          <w:rFonts w:hint="eastAsia" w:ascii="宋体" w:hAnsi="宋体" w:eastAsia="宋体" w:cs="宋体"/>
          <w:color w:val="auto"/>
          <w:spacing w:val="0"/>
          <w:sz w:val="24"/>
          <w:szCs w:val="24"/>
          <w:highlight w:val="none"/>
          <w:u w:val="single"/>
          <w:vertAlign w:val="superscript"/>
          <w:lang w:val="en-US" w:eastAsia="zh-CN"/>
        </w:rPr>
        <w:t>3</w:t>
      </w:r>
      <w:r>
        <w:rPr>
          <w:rFonts w:hint="eastAsia" w:ascii="宋体" w:hAnsi="宋体" w:eastAsia="宋体" w:cs="宋体"/>
          <w:color w:val="auto"/>
          <w:spacing w:val="0"/>
          <w:sz w:val="24"/>
          <w:szCs w:val="24"/>
          <w:highlight w:val="none"/>
          <w:u w:val="single"/>
          <w:lang w:val="en-US" w:eastAsia="zh-CN"/>
        </w:rPr>
        <w:t>。</w:t>
      </w:r>
    </w:p>
    <w:p w14:paraId="7FBF2C98">
      <w:pPr>
        <w:keepNext w:val="0"/>
        <w:keepLines w:val="0"/>
        <w:pageBreakBefore w:val="0"/>
        <w:widowControl/>
        <w:kinsoku/>
        <w:wordWrap w:val="0"/>
        <w:overflowPunct/>
        <w:topLinePunct/>
        <w:autoSpaceDE w:val="0"/>
        <w:autoSpaceDN w:val="0"/>
        <w:bidi w:val="0"/>
        <w:adjustRightInd w:val="0"/>
        <w:snapToGrid w:val="0"/>
        <w:spacing w:line="360" w:lineRule="auto"/>
        <w:ind w:left="1436" w:leftChars="684" w:right="0" w:firstLine="0" w:firstLineChars="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color w:val="auto"/>
          <w:spacing w:val="0"/>
          <w:sz w:val="24"/>
          <w:szCs w:val="24"/>
          <w:highlight w:val="none"/>
          <w:u w:val="single"/>
          <w:lang w:val="en-US" w:eastAsia="zh-CN"/>
        </w:rPr>
        <w:t>地形:平地100%;地质:I、II类土30%、岩石70%。汽车运输:15km，人力运输:0.05km。</w:t>
      </w:r>
    </w:p>
    <w:p w14:paraId="594B3A50">
      <w:pPr>
        <w:keepNext w:val="0"/>
        <w:keepLines w:val="0"/>
        <w:pageBreakBefore w:val="0"/>
        <w:widowControl/>
        <w:kinsoku/>
        <w:wordWrap w:val="0"/>
        <w:overflowPunct/>
        <w:topLinePunct/>
        <w:autoSpaceDE w:val="0"/>
        <w:autoSpaceDN w:val="0"/>
        <w:bidi w:val="0"/>
        <w:adjustRightInd w:val="0"/>
        <w:snapToGrid w:val="0"/>
        <w:spacing w:line="360" w:lineRule="auto"/>
        <w:ind w:left="1436" w:leftChars="684" w:right="0" w:firstLine="0" w:firstLineChars="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color w:val="auto"/>
          <w:spacing w:val="0"/>
          <w:sz w:val="24"/>
          <w:szCs w:val="24"/>
          <w:highlight w:val="none"/>
          <w:u w:val="single"/>
          <w:lang w:val="en-US" w:eastAsia="zh-CN"/>
        </w:rPr>
        <w:t>最终范围以施工图纸及工程量清单为准。</w:t>
      </w:r>
    </w:p>
    <w:p w14:paraId="57AC4B88">
      <w:pPr>
        <w:keepNext w:val="0"/>
        <w:keepLines w:val="0"/>
        <w:pageBreakBefore w:val="0"/>
        <w:widowControl/>
        <w:kinsoku/>
        <w:wordWrap w:val="0"/>
        <w:overflowPunct/>
        <w:topLinePunct/>
        <w:autoSpaceDE w:val="0"/>
        <w:autoSpaceDN w:val="0"/>
        <w:bidi w:val="0"/>
        <w:adjustRightInd w:val="0"/>
        <w:snapToGrid w:val="0"/>
        <w:spacing w:line="360" w:lineRule="auto"/>
        <w:ind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项目总投资</w:t>
      </w:r>
      <w:r>
        <w:rPr>
          <w:rStyle w:val="28"/>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sz w:val="24"/>
          <w:szCs w:val="24"/>
          <w:highlight w:val="none"/>
          <w:u w:val="single"/>
          <w:lang w:val="en-US" w:eastAsia="zh-CN"/>
        </w:rPr>
        <w:t>项目总投资25000万元。</w:t>
      </w:r>
    </w:p>
    <w:p w14:paraId="137329CC">
      <w:pPr>
        <w:keepNext w:val="0"/>
        <w:keepLines w:val="0"/>
        <w:pageBreakBefore w:val="0"/>
        <w:widowControl/>
        <w:kinsoku/>
        <w:wordWrap w:val="0"/>
        <w:overflowPunct/>
        <w:topLinePunct/>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u w:val="none"/>
          <w:lang w:val="en-US" w:eastAsia="zh-CN"/>
        </w:rPr>
        <w:t xml:space="preserve">1.2 </w:t>
      </w:r>
      <w:r>
        <w:rPr>
          <w:rFonts w:hint="eastAsia" w:ascii="宋体" w:hAnsi="宋体" w:eastAsia="宋体" w:cs="宋体"/>
          <w:color w:val="auto"/>
          <w:spacing w:val="0"/>
          <w:sz w:val="24"/>
          <w:szCs w:val="24"/>
          <w:highlight w:val="none"/>
          <w:u w:val="none"/>
          <w:lang w:val="en-US" w:eastAsia="zh-CN"/>
        </w:rPr>
        <w:t>招标范围和标段划分</w:t>
      </w:r>
    </w:p>
    <w:p w14:paraId="768601F4">
      <w:pPr>
        <w:keepNext w:val="0"/>
        <w:keepLines w:val="0"/>
        <w:pageBreakBefore w:val="0"/>
        <w:widowControl/>
        <w:kinsoku/>
        <w:wordWrap w:val="0"/>
        <w:overflowPunct/>
        <w:topLinePunct/>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招标范围：</w:t>
      </w:r>
      <w:r>
        <w:rPr>
          <w:rFonts w:hint="eastAsia" w:ascii="宋体" w:hAnsi="宋体" w:eastAsia="宋体" w:cs="宋体"/>
          <w:color w:val="auto"/>
          <w:spacing w:val="0"/>
          <w:sz w:val="24"/>
          <w:szCs w:val="24"/>
          <w:highlight w:val="none"/>
          <w:lang w:eastAsia="zh-CN"/>
        </w:rPr>
        <w:t>施工图纸和工程量清单范围内等所有工程。</w:t>
      </w:r>
    </w:p>
    <w:p w14:paraId="51CFF3E2">
      <w:pPr>
        <w:keepNext w:val="0"/>
        <w:keepLines w:val="0"/>
        <w:pageBreakBefore w:val="0"/>
        <w:widowControl/>
        <w:kinsoku/>
        <w:wordWrap w:val="0"/>
        <w:overflowPunct/>
        <w:topLinePunct/>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bookmarkStart w:id="17" w:name="_Toc14190"/>
      <w:bookmarkStart w:id="18" w:name="_Toc20855"/>
      <w:bookmarkStart w:id="19" w:name="_Toc28202"/>
      <w:bookmarkStart w:id="20" w:name="_Toc24593"/>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标段划分：本招标项目不划分标段。</w:t>
      </w:r>
      <w:bookmarkEnd w:id="17"/>
      <w:bookmarkEnd w:id="18"/>
      <w:bookmarkEnd w:id="19"/>
      <w:bookmarkEnd w:id="20"/>
    </w:p>
    <w:p w14:paraId="0D8963DA">
      <w:pPr>
        <w:keepNext w:val="0"/>
        <w:keepLines w:val="0"/>
        <w:pageBreakBefore w:val="0"/>
        <w:widowControl/>
        <w:kinsoku/>
        <w:wordWrap w:val="0"/>
        <w:overflowPunct/>
        <w:topLinePunct/>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 </w:t>
      </w:r>
      <w:r>
        <w:rPr>
          <w:rFonts w:hint="eastAsia" w:ascii="宋体" w:hAnsi="宋体" w:eastAsia="宋体" w:cs="宋体"/>
          <w:color w:val="auto"/>
          <w:spacing w:val="0"/>
          <w:sz w:val="24"/>
          <w:szCs w:val="24"/>
          <w:highlight w:val="none"/>
        </w:rPr>
        <w:t>投标费用：投标人应承担所有准备和参加投标的相关费用，不论投标结果如何，招标人均无义务和责任承担这些费用。</w:t>
      </w:r>
    </w:p>
    <w:p w14:paraId="1BFD57E4">
      <w:pPr>
        <w:keepNext w:val="0"/>
        <w:keepLines w:val="0"/>
        <w:pageBreakBefore w:val="0"/>
        <w:widowControl/>
        <w:kinsoku/>
        <w:wordWrap w:val="0"/>
        <w:overflowPunct/>
        <w:topLinePunct/>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 </w:t>
      </w:r>
      <w:r>
        <w:rPr>
          <w:rFonts w:hint="eastAsia" w:ascii="宋体" w:hAnsi="宋体" w:eastAsia="宋体" w:cs="宋体"/>
          <w:color w:val="auto"/>
          <w:spacing w:val="0"/>
          <w:sz w:val="24"/>
          <w:szCs w:val="24"/>
          <w:highlight w:val="none"/>
        </w:rPr>
        <w:t>招标代理费用：</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shd w:val="clear" w:color="auto" w:fill="FFFFFF"/>
        </w:rPr>
        <w:t xml:space="preserve"> 由</w:t>
      </w:r>
      <w:r>
        <w:rPr>
          <w:rFonts w:hint="eastAsia" w:ascii="宋体" w:hAnsi="宋体" w:eastAsia="宋体" w:cs="宋体"/>
          <w:color w:val="auto"/>
          <w:spacing w:val="0"/>
          <w:sz w:val="24"/>
          <w:szCs w:val="24"/>
          <w:highlight w:val="none"/>
        </w:rPr>
        <w:t>项目业主</w:t>
      </w:r>
      <w:r>
        <w:rPr>
          <w:rFonts w:hint="eastAsia" w:ascii="宋体" w:hAnsi="宋体" w:eastAsia="宋体" w:cs="宋体"/>
          <w:color w:val="auto"/>
          <w:spacing w:val="0"/>
          <w:sz w:val="24"/>
          <w:szCs w:val="24"/>
          <w:highlight w:val="none"/>
          <w:shd w:val="clear" w:color="auto" w:fill="FFFFFF"/>
        </w:rPr>
        <w:t>支</w:t>
      </w:r>
      <w:r>
        <w:rPr>
          <w:rFonts w:hint="eastAsia" w:ascii="宋体" w:hAnsi="宋体" w:eastAsia="宋体" w:cs="宋体"/>
          <w:color w:val="auto"/>
          <w:spacing w:val="0"/>
          <w:sz w:val="24"/>
          <w:szCs w:val="24"/>
          <w:highlight w:val="none"/>
        </w:rPr>
        <w:t>付</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position w:val="-6"/>
          <w:sz w:val="24"/>
          <w:szCs w:val="24"/>
          <w:highlight w:val="none"/>
          <w:shd w:val="clear" w:color="auto" w:fill="FFFFFF"/>
          <w:lang w:eastAsia="zh-CN"/>
        </w:rPr>
        <w:t xml:space="preserve"> </w:t>
      </w:r>
      <w:r>
        <w:rPr>
          <w:rFonts w:hint="eastAsia" w:ascii="宋体" w:hAnsi="宋体" w:eastAsia="宋体" w:cs="宋体"/>
          <w:color w:val="auto"/>
          <w:spacing w:val="0"/>
          <w:sz w:val="24"/>
          <w:szCs w:val="24"/>
          <w:highlight w:val="none"/>
          <w:shd w:val="clear" w:color="auto" w:fill="FFFFFF"/>
          <w:lang w:eastAsia="zh-CN"/>
        </w:rPr>
        <w:t>☑</w:t>
      </w:r>
      <w:r>
        <w:rPr>
          <w:rFonts w:hint="eastAsia" w:ascii="宋体" w:hAnsi="宋体" w:eastAsia="宋体" w:cs="宋体"/>
          <w:color w:val="auto"/>
          <w:spacing w:val="0"/>
          <w:sz w:val="24"/>
          <w:szCs w:val="24"/>
          <w:highlight w:val="none"/>
          <w:shd w:val="clear" w:color="auto" w:fill="FFFFFF"/>
        </w:rPr>
        <w:t xml:space="preserve"> 由中标人支付。</w:t>
      </w:r>
    </w:p>
    <w:p w14:paraId="5871196A">
      <w:pPr>
        <w:keepNext w:val="0"/>
        <w:keepLines w:val="0"/>
        <w:pageBreakBefore w:val="0"/>
        <w:widowControl/>
        <w:kinsoku/>
        <w:wordWrap w:val="0"/>
        <w:overflowPunct/>
        <w:topLinePunct/>
        <w:autoSpaceDE w:val="0"/>
        <w:autoSpaceDN w:val="0"/>
        <w:bidi w:val="0"/>
        <w:adjustRightInd w:val="0"/>
        <w:snapToGrid w:val="0"/>
        <w:spacing w:line="360" w:lineRule="auto"/>
        <w:ind w:left="0" w:right="0" w:firstLine="482" w:firstLineChars="200"/>
        <w:jc w:val="left"/>
        <w:textAlignment w:val="baseline"/>
        <w:outlineLvl w:val="9"/>
        <w:rPr>
          <w:rFonts w:hint="eastAsia" w:ascii="宋体" w:hAnsi="宋体" w:eastAsia="宋体" w:cs="宋体"/>
          <w:b/>
          <w:bCs/>
          <w:color w:val="auto"/>
          <w:spacing w:val="0"/>
          <w:sz w:val="24"/>
          <w:szCs w:val="24"/>
          <w:highlight w:val="none"/>
        </w:rPr>
      </w:pPr>
    </w:p>
    <w:p w14:paraId="44608ABD">
      <w:pPr>
        <w:keepNext w:val="0"/>
        <w:keepLines w:val="0"/>
        <w:pageBreakBefore w:val="0"/>
        <w:widowControl/>
        <w:kinsoku/>
        <w:wordWrap w:val="0"/>
        <w:overflowPunct/>
        <w:topLinePunct/>
        <w:autoSpaceDE w:val="0"/>
        <w:autoSpaceDN w:val="0"/>
        <w:bidi w:val="0"/>
        <w:adjustRightInd w:val="0"/>
        <w:snapToGrid w:val="0"/>
        <w:spacing w:line="360" w:lineRule="auto"/>
        <w:ind w:left="0" w:right="0" w:firstLine="482" w:firstLineChars="200"/>
        <w:jc w:val="left"/>
        <w:textAlignment w:val="baseline"/>
        <w:outlineLvl w:val="9"/>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2．</w:t>
      </w:r>
      <w:r>
        <w:rPr>
          <w:rFonts w:hint="eastAsia" w:ascii="宋体" w:hAnsi="宋体" w:eastAsia="宋体" w:cs="宋体"/>
          <w:b/>
          <w:bCs/>
          <w:color w:val="auto"/>
          <w:spacing w:val="0"/>
          <w:sz w:val="24"/>
          <w:szCs w:val="24"/>
          <w:highlight w:val="none"/>
          <w:lang w:eastAsia="zh-CN"/>
        </w:rPr>
        <w:t>投标人</w:t>
      </w:r>
      <w:r>
        <w:rPr>
          <w:rFonts w:hint="eastAsia" w:ascii="宋体" w:hAnsi="宋体" w:eastAsia="宋体" w:cs="宋体"/>
          <w:b/>
          <w:bCs/>
          <w:color w:val="auto"/>
          <w:spacing w:val="0"/>
          <w:sz w:val="24"/>
          <w:szCs w:val="24"/>
          <w:highlight w:val="none"/>
        </w:rPr>
        <w:t>资质要求</w:t>
      </w:r>
    </w:p>
    <w:p w14:paraId="4652A623">
      <w:pPr>
        <w:keepNext w:val="0"/>
        <w:keepLines w:val="0"/>
        <w:pageBreakBefore w:val="0"/>
        <w:widowControl/>
        <w:kinsoku/>
        <w:wordWrap w:val="0"/>
        <w:overflowPunct/>
        <w:topLinePunct/>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2.1</w:t>
      </w:r>
      <w:r>
        <w:rPr>
          <w:rStyle w:val="28"/>
          <w:rFonts w:hint="eastAsia" w:ascii="宋体" w:hAnsi="宋体" w:eastAsia="宋体" w:cs="宋体"/>
          <w:b w:val="0"/>
          <w:bCs w:val="0"/>
          <w:color w:val="auto"/>
          <w:spacing w:val="0"/>
          <w:kern w:val="0"/>
          <w:sz w:val="24"/>
          <w:szCs w:val="24"/>
          <w:highlight w:val="none"/>
          <w:lang w:val="en-US" w:eastAsia="zh-CN"/>
        </w:rPr>
        <w:t xml:space="preserve"> 本次招标</w:t>
      </w:r>
      <w:r>
        <w:rPr>
          <w:rStyle w:val="28"/>
          <w:rFonts w:hint="eastAsia" w:ascii="宋体" w:hAnsi="宋体" w:eastAsia="宋体" w:cs="宋体"/>
          <w:b/>
          <w:bCs/>
          <w:color w:val="auto"/>
          <w:spacing w:val="0"/>
          <w:kern w:val="0"/>
          <w:sz w:val="24"/>
          <w:szCs w:val="24"/>
          <w:highlight w:val="none"/>
          <w:lang w:val="en-US" w:eastAsia="zh-CN"/>
        </w:rPr>
        <w:t>不接受</w:t>
      </w:r>
      <w:r>
        <w:rPr>
          <w:rStyle w:val="28"/>
          <w:rFonts w:hint="eastAsia" w:ascii="宋体" w:hAnsi="宋体" w:eastAsia="宋体" w:cs="宋体"/>
          <w:b w:val="0"/>
          <w:bCs w:val="0"/>
          <w:color w:val="auto"/>
          <w:spacing w:val="0"/>
          <w:kern w:val="0"/>
          <w:sz w:val="24"/>
          <w:szCs w:val="24"/>
          <w:highlight w:val="none"/>
          <w:lang w:val="en-US" w:eastAsia="zh-CN"/>
        </w:rPr>
        <w:t>联合体投标。</w:t>
      </w:r>
    </w:p>
    <w:p w14:paraId="4D30D56C">
      <w:pPr>
        <w:keepNext w:val="0"/>
        <w:keepLines w:val="0"/>
        <w:pageBreakBefore w:val="0"/>
        <w:kinsoku/>
        <w:wordWrap w:val="0"/>
        <w:overflowPunct/>
        <w:topLinePunct/>
        <w:bidi w:val="0"/>
        <w:adjustRightInd w:val="0"/>
        <w:snapToGrid w:val="0"/>
        <w:spacing w:line="360" w:lineRule="auto"/>
        <w:ind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w:t>
      </w:r>
      <w:r>
        <w:rPr>
          <w:rFonts w:hint="eastAsia" w:ascii="宋体" w:hAnsi="宋体" w:eastAsia="宋体" w:cs="宋体"/>
          <w:snapToGrid w:val="0"/>
          <w:color w:val="auto"/>
          <w:kern w:val="0"/>
          <w:sz w:val="24"/>
          <w:szCs w:val="24"/>
          <w:highlight w:val="none"/>
        </w:rPr>
        <w:t xml:space="preserve"> 资格资质要求</w:t>
      </w:r>
    </w:p>
    <w:p w14:paraId="086601CD">
      <w:pPr>
        <w:pStyle w:val="30"/>
        <w:keepNext w:val="0"/>
        <w:keepLines w:val="0"/>
        <w:pageBreakBefore w:val="0"/>
        <w:kinsoku/>
        <w:wordWrap w:val="0"/>
        <w:overflowPunct/>
        <w:topLinePunct/>
        <w:bidi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2.2.1</w:t>
      </w:r>
      <w:r>
        <w:rPr>
          <w:rFonts w:hint="eastAsia" w:ascii="宋体" w:hAnsi="宋体" w:eastAsia="宋体" w:cs="宋体"/>
          <w:snapToGrid w:val="0"/>
          <w:color w:val="auto"/>
          <w:kern w:val="0"/>
          <w:sz w:val="24"/>
          <w:szCs w:val="24"/>
          <w:highlight w:val="none"/>
        </w:rPr>
        <w:t xml:space="preserve"> 投标人须具备独立法人资格，按国家法律经营。</w:t>
      </w:r>
    </w:p>
    <w:p w14:paraId="3A5FFD2B">
      <w:pPr>
        <w:pStyle w:val="30"/>
        <w:keepNext w:val="0"/>
        <w:keepLines w:val="0"/>
        <w:pageBreakBefore w:val="0"/>
        <w:kinsoku/>
        <w:wordWrap w:val="0"/>
        <w:overflowPunct/>
        <w:topLinePunct/>
        <w:bidi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2.2.2</w:t>
      </w:r>
      <w:r>
        <w:rPr>
          <w:rFonts w:hint="eastAsia" w:ascii="宋体" w:hAnsi="宋体" w:eastAsia="宋体" w:cs="宋体"/>
          <w:snapToGrid w:val="0"/>
          <w:color w:val="auto"/>
          <w:kern w:val="0"/>
          <w:sz w:val="24"/>
          <w:szCs w:val="24"/>
          <w:highlight w:val="none"/>
        </w:rPr>
        <w:t xml:space="preserve"> 投标人须具备有效的安全生产许可证。</w:t>
      </w:r>
    </w:p>
    <w:p w14:paraId="646C2932">
      <w:pPr>
        <w:keepNext w:val="0"/>
        <w:keepLines w:val="0"/>
        <w:pageBreakBefore w:val="0"/>
        <w:widowControl/>
        <w:kinsoku/>
        <w:wordWrap w:val="0"/>
        <w:overflowPunct/>
        <w:topLinePunct/>
        <w:autoSpaceDE w:val="0"/>
        <w:autoSpaceDN w:val="0"/>
        <w:bidi w:val="0"/>
        <w:adjustRightInd w:val="0"/>
        <w:snapToGrid w:val="0"/>
        <w:spacing w:line="360" w:lineRule="auto"/>
        <w:ind w:left="0" w:leftChars="0" w:firstLine="482" w:firstLineChars="200"/>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 xml:space="preserve">2.3.3 </w:t>
      </w:r>
      <w:r>
        <w:rPr>
          <w:rFonts w:hint="eastAsia" w:ascii="宋体" w:hAnsi="宋体" w:eastAsia="宋体" w:cs="宋体"/>
          <w:snapToGrid w:val="0"/>
          <w:color w:val="auto"/>
          <w:kern w:val="0"/>
          <w:sz w:val="24"/>
          <w:szCs w:val="24"/>
          <w:highlight w:val="none"/>
          <w:lang w:val="en-US" w:eastAsia="zh-CN" w:bidi="ar-SA"/>
        </w:rPr>
        <w:t>投标人须具同时备以下资质：</w:t>
      </w:r>
    </w:p>
    <w:p w14:paraId="14B69800">
      <w:pPr>
        <w:keepNext w:val="0"/>
        <w:keepLines w:val="0"/>
        <w:pageBreakBefore w:val="0"/>
        <w:widowControl/>
        <w:kinsoku/>
        <w:wordWrap w:val="0"/>
        <w:overflowPunct/>
        <w:topLinePunct/>
        <w:autoSpaceDE w:val="0"/>
        <w:autoSpaceDN w:val="0"/>
        <w:bidi w:val="0"/>
        <w:adjustRightInd w:val="0"/>
        <w:snapToGrid w:val="0"/>
        <w:spacing w:line="360" w:lineRule="auto"/>
        <w:ind w:left="0" w:leftChars="0" w:firstLine="482" w:firstLineChars="200"/>
        <w:textAlignment w:val="baseline"/>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①有效期内的电力工程施工总承包三级以上（含三级）资质或输变电工程专业承包三级以上（含三级）资质。</w:t>
      </w:r>
    </w:p>
    <w:p w14:paraId="297CA10A">
      <w:pPr>
        <w:keepNext w:val="0"/>
        <w:keepLines w:val="0"/>
        <w:pageBreakBefore w:val="0"/>
        <w:widowControl/>
        <w:kinsoku/>
        <w:wordWrap w:val="0"/>
        <w:overflowPunct/>
        <w:topLinePunct/>
        <w:autoSpaceDE w:val="0"/>
        <w:autoSpaceDN w:val="0"/>
        <w:bidi w:val="0"/>
        <w:adjustRightInd w:val="0"/>
        <w:snapToGrid w:val="0"/>
        <w:spacing w:line="360" w:lineRule="auto"/>
        <w:ind w:left="0" w:leftChars="0"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②有效期内的《承装（修、试）电力设施许可证》，许可类型和等级为：承装类、承修类、承试类三级以上（含三级）资质许可。</w:t>
      </w:r>
    </w:p>
    <w:p w14:paraId="3E06DBDA">
      <w:pPr>
        <w:pStyle w:val="30"/>
        <w:keepNext w:val="0"/>
        <w:keepLines w:val="0"/>
        <w:pageBreakBefore w:val="0"/>
        <w:kinsoku/>
        <w:wordWrap w:val="0"/>
        <w:overflowPunct/>
        <w:topLinePunct/>
        <w:bidi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2.2.4</w:t>
      </w:r>
      <w:r>
        <w:rPr>
          <w:rFonts w:hint="eastAsia" w:ascii="宋体" w:hAnsi="宋体" w:eastAsia="宋体" w:cs="宋体"/>
          <w:snapToGrid w:val="0"/>
          <w:color w:val="auto"/>
          <w:kern w:val="0"/>
          <w:sz w:val="24"/>
          <w:szCs w:val="24"/>
          <w:highlight w:val="none"/>
        </w:rPr>
        <w:t xml:space="preserve">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71963773">
      <w:pPr>
        <w:pStyle w:val="30"/>
        <w:keepNext w:val="0"/>
        <w:keepLines w:val="0"/>
        <w:pageBreakBefore w:val="0"/>
        <w:kinsoku/>
        <w:wordWrap w:val="0"/>
        <w:overflowPunct/>
        <w:topLinePunct/>
        <w:bidi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w:t>
      </w:r>
      <w:r>
        <w:rPr>
          <w:rFonts w:hint="eastAsia" w:ascii="宋体" w:hAnsi="宋体" w:eastAsia="宋体" w:cs="宋体"/>
          <w:snapToGrid w:val="0"/>
          <w:color w:val="auto"/>
          <w:kern w:val="0"/>
          <w:sz w:val="24"/>
          <w:szCs w:val="24"/>
          <w:highlight w:val="none"/>
        </w:rPr>
        <w:t xml:space="preserve"> 相关人员要求</w:t>
      </w:r>
    </w:p>
    <w:p w14:paraId="39A43E44">
      <w:pPr>
        <w:keepNext w:val="0"/>
        <w:keepLines w:val="0"/>
        <w:pageBreakBefore w:val="0"/>
        <w:kinsoku/>
        <w:wordWrap w:val="0"/>
        <w:overflowPunct/>
        <w:topLinePunct/>
        <w:bidi w:val="0"/>
        <w:adjustRightInd w:val="0"/>
        <w:snapToGrid w:val="0"/>
        <w:spacing w:line="360" w:lineRule="auto"/>
        <w:ind w:left="210" w:leftChars="100" w:firstLine="241" w:firstLineChars="1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rPr>
        <w:t>2.3.1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lang w:val="en-US" w:eastAsia="zh-CN"/>
        </w:rPr>
        <w:t>拟派项目经理为</w:t>
      </w:r>
      <w:r>
        <w:rPr>
          <w:rFonts w:hint="eastAsia" w:ascii="宋体" w:hAnsi="宋体" w:eastAsia="宋体" w:cs="宋体"/>
          <w:b/>
          <w:bCs/>
          <w:color w:val="auto"/>
          <w:sz w:val="24"/>
          <w:szCs w:val="24"/>
          <w:highlight w:val="none"/>
          <w:u w:val="single"/>
          <w:lang w:val="en-US" w:eastAsia="zh-CN"/>
        </w:rPr>
        <w:t>机电工程</w:t>
      </w:r>
      <w:r>
        <w:rPr>
          <w:rFonts w:hint="eastAsia" w:ascii="宋体" w:hAnsi="宋体" w:eastAsia="宋体" w:cs="宋体"/>
          <w:color w:val="auto"/>
          <w:sz w:val="24"/>
          <w:szCs w:val="24"/>
          <w:highlight w:val="none"/>
          <w:lang w:val="en-US" w:eastAsia="zh-CN"/>
        </w:rPr>
        <w:t>专业一级或二级注册建造师，应持有住建部门印发的在使用有效期内的有效电子注册证书（根据广东省住房和城乡建设厅（粤建市函〔2023〕469号）文件精神，二级注册建造师可随注册企业在全国范围内执业），同时须具备有效安全生产考核合格证明（B证</w:t>
      </w:r>
      <w:r>
        <w:rPr>
          <w:rFonts w:hint="eastAsia" w:ascii="宋体" w:hAnsi="宋体" w:eastAsia="宋体" w:cs="宋体"/>
          <w:strike w:val="0"/>
          <w:dstrike w:val="0"/>
          <w:color w:val="auto"/>
          <w:sz w:val="24"/>
          <w:szCs w:val="24"/>
          <w:highlight w:val="none"/>
          <w:lang w:val="en-US" w:eastAsia="zh-CN"/>
        </w:rPr>
        <w:t>，安全生产考核合格证书或“广东省建筑施工企业管理人员安全生产考核信息系统”考核合格信息打印页</w:t>
      </w:r>
      <w:r>
        <w:rPr>
          <w:rFonts w:hint="eastAsia" w:ascii="宋体" w:hAnsi="宋体" w:eastAsia="宋体" w:cs="宋体"/>
          <w:color w:val="auto"/>
          <w:sz w:val="24"/>
          <w:szCs w:val="24"/>
          <w:highlight w:val="none"/>
          <w:lang w:val="en-US" w:eastAsia="zh-CN"/>
        </w:rPr>
        <w:t>），且未担任其他在施（包括已中标未开工、已建成未竣工）建设工程项目的项目经理。</w:t>
      </w:r>
    </w:p>
    <w:p w14:paraId="36789CA2">
      <w:pPr>
        <w:pStyle w:val="30"/>
        <w:keepNext w:val="0"/>
        <w:keepLines w:val="0"/>
        <w:pageBreakBefore w:val="0"/>
        <w:kinsoku/>
        <w:wordWrap w:val="0"/>
        <w:overflowPunct/>
        <w:topLinePunct/>
        <w:bidi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2.3.2</w:t>
      </w:r>
      <w:r>
        <w:rPr>
          <w:rFonts w:hint="eastAsia" w:ascii="宋体" w:hAnsi="宋体" w:eastAsia="宋体" w:cs="宋体"/>
          <w:snapToGrid w:val="0"/>
          <w:color w:val="auto"/>
          <w:kern w:val="0"/>
          <w:sz w:val="24"/>
          <w:szCs w:val="24"/>
          <w:highlight w:val="none"/>
        </w:rPr>
        <w:t xml:space="preserve"> 拟派项目技术负责人须具备</w:t>
      </w:r>
      <w:r>
        <w:rPr>
          <w:rFonts w:hint="eastAsia" w:ascii="宋体" w:hAnsi="宋体" w:eastAsia="宋体" w:cs="宋体"/>
          <w:b/>
          <w:bCs/>
          <w:snapToGrid w:val="0"/>
          <w:color w:val="auto"/>
          <w:kern w:val="0"/>
          <w:sz w:val="24"/>
          <w:szCs w:val="24"/>
          <w:highlight w:val="none"/>
          <w:u w:val="single"/>
        </w:rPr>
        <w:t>机电工程或电力工程或电气工程</w:t>
      </w:r>
      <w:r>
        <w:rPr>
          <w:rFonts w:hint="eastAsia" w:ascii="宋体" w:hAnsi="宋体" w:eastAsia="宋体" w:cs="宋体"/>
          <w:snapToGrid w:val="0"/>
          <w:color w:val="auto"/>
          <w:kern w:val="0"/>
          <w:sz w:val="24"/>
          <w:szCs w:val="24"/>
          <w:highlight w:val="none"/>
        </w:rPr>
        <w:t>相关专业中级以上（含中级）技术职称。</w:t>
      </w:r>
    </w:p>
    <w:p w14:paraId="6B44E970">
      <w:pPr>
        <w:pStyle w:val="30"/>
        <w:keepNext w:val="0"/>
        <w:keepLines w:val="0"/>
        <w:pageBreakBefore w:val="0"/>
        <w:kinsoku/>
        <w:wordWrap w:val="0"/>
        <w:overflowPunct/>
        <w:topLinePunct/>
        <w:bidi w:val="0"/>
        <w:adjustRightInd w:val="0"/>
        <w:snapToGrid w:val="0"/>
        <w:spacing w:line="360" w:lineRule="auto"/>
        <w:ind w:firstLine="480"/>
        <w:jc w:val="left"/>
        <w:rPr>
          <w:rFonts w:hint="eastAsia" w:ascii="宋体" w:hAnsi="宋体" w:eastAsia="宋体" w:cs="宋体"/>
          <w:strike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2.3.3</w:t>
      </w:r>
      <w:r>
        <w:rPr>
          <w:rFonts w:hint="eastAsia" w:ascii="宋体" w:hAnsi="宋体" w:eastAsia="宋体" w:cs="宋体"/>
          <w:snapToGrid w:val="0"/>
          <w:color w:val="auto"/>
          <w:kern w:val="0"/>
          <w:sz w:val="24"/>
          <w:szCs w:val="24"/>
          <w:highlight w:val="none"/>
        </w:rPr>
        <w:t xml:space="preserve"> 拟派专职安全生产管理人员须具备有效安全生产考核合格证明（C证</w:t>
      </w:r>
      <w:r>
        <w:rPr>
          <w:rFonts w:hint="eastAsia" w:ascii="宋体" w:hAnsi="宋体" w:eastAsia="宋体" w:cs="宋体"/>
          <w:strike w:val="0"/>
          <w:dstrike w:val="0"/>
          <w:snapToGrid w:val="0"/>
          <w:color w:val="auto"/>
          <w:kern w:val="0"/>
          <w:sz w:val="24"/>
          <w:szCs w:val="24"/>
          <w:highlight w:val="none"/>
        </w:rPr>
        <w:t>，安全生产考核合格证书或“广东省建筑施工企业管理人员安全生产考核信息系统”考核合格信息打印页</w:t>
      </w:r>
      <w:r>
        <w:rPr>
          <w:rFonts w:hint="eastAsia" w:ascii="宋体" w:hAnsi="宋体" w:eastAsia="宋体" w:cs="宋体"/>
          <w:strike w:val="0"/>
          <w:snapToGrid w:val="0"/>
          <w:color w:val="auto"/>
          <w:kern w:val="0"/>
          <w:sz w:val="24"/>
          <w:szCs w:val="24"/>
          <w:highlight w:val="none"/>
        </w:rPr>
        <w:t xml:space="preserve">），且不少于1人。 </w:t>
      </w:r>
    </w:p>
    <w:p w14:paraId="2684EBC5">
      <w:pPr>
        <w:pStyle w:val="30"/>
        <w:keepNext w:val="0"/>
        <w:keepLines w:val="0"/>
        <w:pageBreakBefore w:val="0"/>
        <w:kinsoku/>
        <w:wordWrap w:val="0"/>
        <w:overflowPunct/>
        <w:topLinePunct/>
        <w:bidi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2.3.4</w:t>
      </w:r>
      <w:r>
        <w:rPr>
          <w:rFonts w:hint="eastAsia" w:ascii="宋体" w:hAnsi="宋体" w:eastAsia="宋体" w:cs="宋体"/>
          <w:snapToGrid w:val="0"/>
          <w:color w:val="auto"/>
          <w:kern w:val="0"/>
          <w:sz w:val="24"/>
          <w:szCs w:val="24"/>
          <w:highlight w:val="none"/>
        </w:rPr>
        <w:t xml:space="preserve"> 投标人（包括组成联合体的所有成员单位）与其拟派往本项目管理机构的所有人员之间必须具备合法、唯一的劳动聘用关系。拟派人员中具备注册执业资格的，其注册单位须与投标人保持一致（提供社保缴纳证明）。</w:t>
      </w:r>
    </w:p>
    <w:p w14:paraId="32788FEE">
      <w:pPr>
        <w:keepNext w:val="0"/>
        <w:keepLines w:val="0"/>
        <w:pageBreakBefore w:val="0"/>
        <w:widowControl/>
        <w:kinsoku/>
        <w:wordWrap w:val="0"/>
        <w:overflowPunct/>
        <w:topLinePunct/>
        <w:autoSpaceDE w:val="0"/>
        <w:autoSpaceDN w:val="0"/>
        <w:bidi w:val="0"/>
        <w:adjustRightInd w:val="0"/>
        <w:snapToGrid w:val="0"/>
        <w:spacing w:line="360" w:lineRule="auto"/>
        <w:ind w:left="489"/>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禁止投标条款</w:t>
      </w:r>
    </w:p>
    <w:p w14:paraId="7ABD21E4">
      <w:pPr>
        <w:keepNext w:val="0"/>
        <w:keepLines w:val="0"/>
        <w:pageBreakBefore w:val="0"/>
        <w:widowControl/>
        <w:kinsoku/>
        <w:wordWrap w:val="0"/>
        <w:overflowPunct/>
        <w:topLinePunct/>
        <w:autoSpaceDE w:val="0"/>
        <w:autoSpaceDN w:val="0"/>
        <w:bidi w:val="0"/>
        <w:adjustRightInd w:val="0"/>
        <w:snapToGrid w:val="0"/>
        <w:spacing w:line="360" w:lineRule="auto"/>
        <w:ind w:left="489"/>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2.4.1 </w:t>
      </w:r>
      <w:r>
        <w:rPr>
          <w:rFonts w:hint="eastAsia" w:ascii="宋体" w:hAnsi="宋体" w:eastAsia="宋体" w:cs="宋体"/>
          <w:color w:val="auto"/>
          <w:spacing w:val="0"/>
          <w:sz w:val="24"/>
          <w:szCs w:val="24"/>
          <w:highlight w:val="none"/>
        </w:rPr>
        <w:t>投标人不得存在下列情形之一：</w:t>
      </w:r>
    </w:p>
    <w:p w14:paraId="3B34694B">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（1）为招标人不具有独立法人资格的附属机构（单位）；</w:t>
      </w:r>
    </w:p>
    <w:p w14:paraId="28BD7525">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（2）为本招标项目前期准备提供设计或咨询服务的；</w:t>
      </w:r>
    </w:p>
    <w:p w14:paraId="1C5F6097">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（3）与本招标项目的其他投标人为同一个单位负责人；</w:t>
      </w:r>
    </w:p>
    <w:p w14:paraId="27D71456">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（4）与本招标项目的其他投标人存在控股、管理关系；</w:t>
      </w:r>
    </w:p>
    <w:p w14:paraId="49996FBF">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（5）为本招标项目的监理人；</w:t>
      </w:r>
    </w:p>
    <w:p w14:paraId="2D44A6A8">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（6）为本招标项目的代建人；</w:t>
      </w:r>
    </w:p>
    <w:p w14:paraId="46C3F0DE">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（7）为本招标项目的招标代理机构；</w:t>
      </w:r>
    </w:p>
    <w:p w14:paraId="1713EEA1">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（8）与本招标项目的监理人或代建人或招标代理机构同为一个 法定代表人；</w:t>
      </w:r>
    </w:p>
    <w:p w14:paraId="2DF009D2">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（9）与本招标项目的监理人或代建人或招标代理机构存在控股或参股关系；</w:t>
      </w:r>
    </w:p>
    <w:p w14:paraId="23B0F1B3">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（10）与本招标项目的监理人或代建人或招标代理机构存在相互任职或工作关系；</w:t>
      </w:r>
    </w:p>
    <w:p w14:paraId="19767454">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（11）被依法暂停或者取消投标资格；</w:t>
      </w:r>
    </w:p>
    <w:p w14:paraId="40B8FCF4">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（12）被责令停产停业、暂扣或者吊销许可证、暂扣或者吊销执照；</w:t>
      </w:r>
    </w:p>
    <w:p w14:paraId="2C8E704B">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（13）进入清算程序，或被宣告破产，或其他丧失履约能力的情形；</w:t>
      </w:r>
    </w:p>
    <w:p w14:paraId="4D9C53D5">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（14）在最近三年内发生重大工程质量或安全问题（以相关行业主管部门的行政处罚决定或司法机关出具的有关法律文书为准）；</w:t>
      </w:r>
    </w:p>
    <w:p w14:paraId="61EEAF58">
      <w:pPr>
        <w:keepNext w:val="0"/>
        <w:keepLines w:val="0"/>
        <w:pageBreakBefore w:val="0"/>
        <w:widowControl/>
        <w:kinsoku/>
        <w:wordWrap w:val="0"/>
        <w:overflowPunct/>
        <w:topLinePunct/>
        <w:autoSpaceDE w:val="0"/>
        <w:autoSpaceDN w:val="0"/>
        <w:bidi w:val="0"/>
        <w:adjustRightInd w:val="0"/>
        <w:snapToGrid w:val="0"/>
        <w:spacing w:line="360" w:lineRule="auto"/>
        <w:ind w:left="232" w:right="99" w:firstLine="36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（15）被“信用中国”网站（https://www.creditchina.gov.cn）发布的《法人和非法人组织公共信用信息报告》列为严重失信主体名单的。</w:t>
      </w:r>
    </w:p>
    <w:p w14:paraId="6CC4E4DA">
      <w:pPr>
        <w:keepNext w:val="0"/>
        <w:keepLines w:val="0"/>
        <w:pageBreakBefore w:val="0"/>
        <w:widowControl/>
        <w:kinsoku/>
        <w:wordWrap w:val="0"/>
        <w:overflowPunct/>
        <w:topLinePunct/>
        <w:autoSpaceDE w:val="0"/>
        <w:autoSpaceDN w:val="0"/>
        <w:bidi w:val="0"/>
        <w:adjustRightInd w:val="0"/>
        <w:snapToGrid w:val="0"/>
        <w:spacing w:line="360" w:lineRule="auto"/>
        <w:ind w:left="70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2.4.2 </w:t>
      </w:r>
      <w:r>
        <w:rPr>
          <w:rFonts w:hint="eastAsia" w:ascii="宋体" w:hAnsi="宋体" w:eastAsia="宋体" w:cs="宋体"/>
          <w:color w:val="auto"/>
          <w:spacing w:val="0"/>
          <w:sz w:val="24"/>
          <w:szCs w:val="24"/>
          <w:highlight w:val="none"/>
        </w:rPr>
        <w:t>招标人拒绝以下名单中的单位参加本次投标：</w:t>
      </w:r>
    </w:p>
    <w:tbl>
      <w:tblPr>
        <w:tblStyle w:val="16"/>
        <w:tblW w:w="45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4327"/>
        <w:gridCol w:w="3510"/>
      </w:tblGrid>
      <w:tr w14:paraId="5BD5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pct"/>
            <w:vAlign w:val="center"/>
          </w:tcPr>
          <w:p w14:paraId="0067A77C">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bCs/>
                <w:snapToGrid w:val="0"/>
                <w:color w:val="auto"/>
                <w:spacing w:val="0"/>
                <w:kern w:val="0"/>
                <w:sz w:val="24"/>
                <w:szCs w:val="24"/>
                <w:highlight w:val="none"/>
                <w:lang w:val="en-US" w:eastAsia="zh-CN" w:bidi="ar-SA"/>
              </w:rPr>
            </w:pPr>
            <w:r>
              <w:rPr>
                <w:rFonts w:hint="eastAsia" w:ascii="宋体" w:hAnsi="宋体" w:eastAsia="宋体" w:cs="宋体"/>
                <w:b/>
                <w:bCs/>
                <w:snapToGrid w:val="0"/>
                <w:color w:val="auto"/>
                <w:spacing w:val="0"/>
                <w:kern w:val="0"/>
                <w:sz w:val="24"/>
                <w:szCs w:val="24"/>
                <w:highlight w:val="none"/>
                <w:lang w:val="en-US" w:eastAsia="zh-CN" w:bidi="ar-SA"/>
              </w:rPr>
              <w:t>序号</w:t>
            </w:r>
          </w:p>
        </w:tc>
        <w:tc>
          <w:tcPr>
            <w:tcW w:w="2486" w:type="pct"/>
            <w:vAlign w:val="center"/>
          </w:tcPr>
          <w:p w14:paraId="763F27F7">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bCs/>
                <w:snapToGrid w:val="0"/>
                <w:color w:val="auto"/>
                <w:spacing w:val="0"/>
                <w:kern w:val="0"/>
                <w:sz w:val="24"/>
                <w:szCs w:val="24"/>
                <w:highlight w:val="none"/>
                <w:lang w:val="en-US" w:eastAsia="zh-CN" w:bidi="ar-SA"/>
              </w:rPr>
            </w:pPr>
            <w:r>
              <w:rPr>
                <w:rFonts w:hint="eastAsia" w:ascii="宋体" w:hAnsi="宋体" w:eastAsia="宋体" w:cs="宋体"/>
                <w:b/>
                <w:bCs/>
                <w:snapToGrid w:val="0"/>
                <w:color w:val="auto"/>
                <w:spacing w:val="0"/>
                <w:kern w:val="0"/>
                <w:sz w:val="24"/>
                <w:szCs w:val="24"/>
                <w:highlight w:val="none"/>
                <w:lang w:val="en-US" w:eastAsia="zh-CN" w:bidi="ar-SA"/>
              </w:rPr>
              <w:t>单位名称</w:t>
            </w:r>
          </w:p>
        </w:tc>
        <w:tc>
          <w:tcPr>
            <w:tcW w:w="2016" w:type="pct"/>
            <w:vAlign w:val="center"/>
          </w:tcPr>
          <w:p w14:paraId="77472D03">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bCs/>
                <w:snapToGrid w:val="0"/>
                <w:color w:val="auto"/>
                <w:spacing w:val="0"/>
                <w:kern w:val="0"/>
                <w:sz w:val="24"/>
                <w:szCs w:val="24"/>
                <w:highlight w:val="none"/>
                <w:lang w:val="en-US" w:eastAsia="zh-CN" w:bidi="ar-SA"/>
              </w:rPr>
            </w:pPr>
            <w:r>
              <w:rPr>
                <w:rFonts w:hint="eastAsia" w:ascii="宋体" w:hAnsi="宋体" w:eastAsia="宋体" w:cs="宋体"/>
                <w:b/>
                <w:bCs/>
                <w:snapToGrid w:val="0"/>
                <w:color w:val="auto"/>
                <w:spacing w:val="0"/>
                <w:kern w:val="0"/>
                <w:sz w:val="24"/>
                <w:szCs w:val="24"/>
                <w:highlight w:val="none"/>
                <w:lang w:val="en-US" w:eastAsia="zh-CN" w:bidi="ar-SA"/>
              </w:rPr>
              <w:t>拒绝原因</w:t>
            </w:r>
          </w:p>
        </w:tc>
      </w:tr>
      <w:tr w14:paraId="1685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pct"/>
            <w:vAlign w:val="center"/>
          </w:tcPr>
          <w:p w14:paraId="5A88AF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1</w:t>
            </w:r>
          </w:p>
        </w:tc>
        <w:tc>
          <w:tcPr>
            <w:tcW w:w="2486" w:type="pct"/>
            <w:vAlign w:val="center"/>
          </w:tcPr>
          <w:p w14:paraId="04E952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广东韶关数据产业投资发展有限公司</w:t>
            </w:r>
          </w:p>
        </w:tc>
        <w:tc>
          <w:tcPr>
            <w:tcW w:w="2016" w:type="pct"/>
            <w:vAlign w:val="center"/>
          </w:tcPr>
          <w:p w14:paraId="2875B4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为本招标项目的招标人</w:t>
            </w:r>
          </w:p>
        </w:tc>
      </w:tr>
      <w:tr w14:paraId="35B89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pct"/>
            <w:vAlign w:val="center"/>
          </w:tcPr>
          <w:p w14:paraId="23F779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2</w:t>
            </w:r>
          </w:p>
        </w:tc>
        <w:tc>
          <w:tcPr>
            <w:tcW w:w="2486" w:type="pct"/>
            <w:vAlign w:val="center"/>
          </w:tcPr>
          <w:p w14:paraId="7F89E5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韶关市君信招标代理有限公司</w:t>
            </w:r>
          </w:p>
        </w:tc>
        <w:tc>
          <w:tcPr>
            <w:tcW w:w="2016" w:type="pct"/>
            <w:vAlign w:val="center"/>
          </w:tcPr>
          <w:p w14:paraId="521405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为本招标项目的招标代理机构</w:t>
            </w:r>
          </w:p>
        </w:tc>
      </w:tr>
      <w:tr w14:paraId="33CE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pct"/>
            <w:vAlign w:val="center"/>
          </w:tcPr>
          <w:p w14:paraId="08EB71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3</w:t>
            </w:r>
          </w:p>
        </w:tc>
        <w:tc>
          <w:tcPr>
            <w:tcW w:w="2486" w:type="pct"/>
            <w:vAlign w:val="center"/>
          </w:tcPr>
          <w:p w14:paraId="40FCA1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瑞博电力有限公司</w:t>
            </w:r>
          </w:p>
        </w:tc>
        <w:tc>
          <w:tcPr>
            <w:tcW w:w="2016" w:type="pct"/>
            <w:vAlign w:val="center"/>
          </w:tcPr>
          <w:p w14:paraId="6C7F37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为本项目的设计单位</w:t>
            </w:r>
          </w:p>
        </w:tc>
      </w:tr>
      <w:tr w14:paraId="344A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pct"/>
            <w:vAlign w:val="center"/>
          </w:tcPr>
          <w:p w14:paraId="113C51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4</w:t>
            </w:r>
          </w:p>
        </w:tc>
        <w:tc>
          <w:tcPr>
            <w:tcW w:w="2486" w:type="pct"/>
            <w:vAlign w:val="center"/>
          </w:tcPr>
          <w:p w14:paraId="6D75BB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广东省电信规划设计院有限公司</w:t>
            </w:r>
          </w:p>
        </w:tc>
        <w:tc>
          <w:tcPr>
            <w:tcW w:w="2016" w:type="pct"/>
            <w:vAlign w:val="center"/>
          </w:tcPr>
          <w:p w14:paraId="3B0A42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为本项目的可研编制单位</w:t>
            </w:r>
          </w:p>
        </w:tc>
      </w:tr>
      <w:tr w14:paraId="4AC2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pct"/>
            <w:vAlign w:val="center"/>
          </w:tcPr>
          <w:p w14:paraId="4F9C2E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5</w:t>
            </w:r>
          </w:p>
        </w:tc>
        <w:tc>
          <w:tcPr>
            <w:tcW w:w="2486" w:type="pct"/>
            <w:vAlign w:val="center"/>
          </w:tcPr>
          <w:p w14:paraId="2FEFB6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世源科技工程有限公司</w:t>
            </w:r>
          </w:p>
        </w:tc>
        <w:tc>
          <w:tcPr>
            <w:tcW w:w="2016" w:type="pct"/>
            <w:vAlign w:val="center"/>
          </w:tcPr>
          <w:p w14:paraId="689913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为本项目的概算编制单位</w:t>
            </w:r>
          </w:p>
        </w:tc>
      </w:tr>
      <w:tr w14:paraId="1917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pct"/>
            <w:vAlign w:val="center"/>
          </w:tcPr>
          <w:p w14:paraId="7C75EB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6</w:t>
            </w:r>
          </w:p>
        </w:tc>
        <w:tc>
          <w:tcPr>
            <w:tcW w:w="4327" w:type="dxa"/>
            <w:vAlign w:val="center"/>
          </w:tcPr>
          <w:p w14:paraId="32008D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广东至衡工程管理有限公司</w:t>
            </w:r>
          </w:p>
        </w:tc>
        <w:tc>
          <w:tcPr>
            <w:tcW w:w="3510" w:type="dxa"/>
            <w:vAlign w:val="center"/>
          </w:tcPr>
          <w:p w14:paraId="174FC9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为本项目的造价咨询单位</w:t>
            </w:r>
          </w:p>
        </w:tc>
      </w:tr>
      <w:tr w14:paraId="3DF5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pct"/>
            <w:vAlign w:val="center"/>
          </w:tcPr>
          <w:p w14:paraId="0DCC14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7</w:t>
            </w:r>
          </w:p>
        </w:tc>
        <w:tc>
          <w:tcPr>
            <w:tcW w:w="4327" w:type="dxa"/>
            <w:vAlign w:val="center"/>
          </w:tcPr>
          <w:p w14:paraId="4E4EA5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公诚管理咨询有限公司</w:t>
            </w:r>
          </w:p>
        </w:tc>
        <w:tc>
          <w:tcPr>
            <w:tcW w:w="3510" w:type="dxa"/>
            <w:vAlign w:val="center"/>
          </w:tcPr>
          <w:p w14:paraId="7EDF48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为本项目的监理单位</w:t>
            </w:r>
          </w:p>
        </w:tc>
      </w:tr>
    </w:tbl>
    <w:p w14:paraId="46C1D4DE">
      <w:pPr>
        <w:keepNext w:val="0"/>
        <w:keepLines w:val="0"/>
        <w:pageBreakBefore w:val="0"/>
        <w:kinsoku/>
        <w:wordWrap w:val="0"/>
        <w:overflowPunct/>
        <w:topLinePunct/>
        <w:bidi w:val="0"/>
        <w:spacing w:line="93" w:lineRule="auto"/>
        <w:rPr>
          <w:rFonts w:hint="eastAsia" w:ascii="宋体" w:hAnsi="宋体" w:eastAsia="宋体" w:cs="宋体"/>
          <w:color w:val="auto"/>
          <w:spacing w:val="0"/>
          <w:sz w:val="2"/>
          <w:highlight w:val="none"/>
        </w:rPr>
      </w:pPr>
    </w:p>
    <w:p w14:paraId="61AFAD9F">
      <w:pPr>
        <w:keepNext w:val="0"/>
        <w:keepLines w:val="0"/>
        <w:pageBreakBefore w:val="0"/>
        <w:kinsoku/>
        <w:wordWrap w:val="0"/>
        <w:overflowPunct/>
        <w:topLinePunct/>
        <w:bidi w:val="0"/>
        <w:spacing w:before="153" w:line="221"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其他要求</w:t>
      </w:r>
    </w:p>
    <w:p w14:paraId="6E7FB75A">
      <w:pPr>
        <w:keepNext w:val="0"/>
        <w:keepLines w:val="0"/>
        <w:pageBreakBefore w:val="0"/>
        <w:kinsoku/>
        <w:wordWrap w:val="0"/>
        <w:overflowPunct/>
        <w:topLinePunct/>
        <w:bidi w:val="0"/>
        <w:spacing w:before="150" w:line="334" w:lineRule="auto"/>
        <w:ind w:left="232" w:right="99" w:firstLine="48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eastAsia="zh-CN"/>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B4216D3">
      <w:pPr>
        <w:keepNext w:val="0"/>
        <w:keepLines w:val="0"/>
        <w:pageBreakBefore w:val="0"/>
        <w:kinsoku/>
        <w:wordWrap w:val="0"/>
        <w:overflowPunct/>
        <w:topLinePunct/>
        <w:bidi w:val="0"/>
        <w:spacing w:before="79" w:line="220" w:lineRule="auto"/>
        <w:ind w:left="715"/>
        <w:outlineLvl w:val="4"/>
        <w:rPr>
          <w:rFonts w:hint="eastAsia" w:ascii="宋体" w:hAnsi="宋体" w:eastAsia="宋体" w:cs="宋体"/>
          <w:b/>
          <w:bCs/>
          <w:color w:val="auto"/>
          <w:spacing w:val="0"/>
          <w:sz w:val="24"/>
          <w:szCs w:val="24"/>
          <w:highlight w:val="none"/>
        </w:rPr>
      </w:pPr>
      <w:bookmarkStart w:id="21" w:name="_Toc23243"/>
    </w:p>
    <w:p w14:paraId="390C25FE">
      <w:pPr>
        <w:keepNext w:val="0"/>
        <w:keepLines w:val="0"/>
        <w:pageBreakBefore w:val="0"/>
        <w:kinsoku/>
        <w:wordWrap w:val="0"/>
        <w:overflowPunct/>
        <w:topLinePunct/>
        <w:bidi w:val="0"/>
        <w:spacing w:before="79" w:line="220" w:lineRule="auto"/>
        <w:ind w:left="715"/>
        <w:outlineLvl w:val="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3．招标文件的获取</w:t>
      </w:r>
      <w:bookmarkEnd w:id="21"/>
    </w:p>
    <w:p w14:paraId="6FA9E824">
      <w:pPr>
        <w:keepNext w:val="0"/>
        <w:keepLines w:val="0"/>
        <w:pageBreakBefore w:val="0"/>
        <w:kinsoku/>
        <w:wordWrap w:val="0"/>
        <w:overflowPunct/>
        <w:topLinePunct/>
        <w:bidi w:val="0"/>
        <w:spacing w:before="182" w:line="219" w:lineRule="auto"/>
        <w:ind w:left="70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本次招标实行电子投标。</w:t>
      </w:r>
    </w:p>
    <w:p w14:paraId="5DB9EC63">
      <w:pPr>
        <w:keepNext w:val="0"/>
        <w:keepLines w:val="0"/>
        <w:pageBreakBefore w:val="0"/>
        <w:kinsoku/>
        <w:wordWrap w:val="0"/>
        <w:overflowPunct/>
        <w:topLinePunct/>
        <w:bidi w:val="0"/>
        <w:spacing w:before="178" w:line="355" w:lineRule="auto"/>
        <w:ind w:left="0" w:leftChars="0" w:firstLine="481"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次招标实行电子投标。本项目招标文件随招标公告一并在全国公共资源交易平台（广东省·韶关市）（https://ygp.gdzwfw.gov.cn/ggzy-portal/#/440200/index）网站发布。招标文件一经发布，视为发送投标人，招标文件及相关附件由投标人自行在全国公共资源交易平台（广东省 ·韶关市）网站下载。请于招标文件获取期间,（见本章第二节“重要事项时间地点一览表 ”）招标文件获取期间与招标公告发布时间一致，投标人须登录全国公共资源交易平台（广东省·韶关市）（https://ygp.gdzwfw.gov.cn/ggzy-portal/#/440200/index），使用新建设工程交易系统进行下载招标文件及相关附件，并于电子投标截止时间（见本章第二节“重要事项时间地点一览表 ”）前完成电子投标。投标人可登录全国公共资源交易平台（广东省·韶关市）（https://ygp.gdzwfw.gov.cn/ggzy-portal/#/440200/index），在【服务指南】栏目中建设工程交易中下载《韶关市公共资源建设工程交易系统-投标人操作指南（电子评标）》（附件 2），了解网上获取招标文件操作流程。技术咨询电话：0751-8379671 伍先生，业务咨询电话：0751-8633211、8633071。</w:t>
      </w:r>
    </w:p>
    <w:p w14:paraId="3B5C82CC">
      <w:pPr>
        <w:keepNext w:val="0"/>
        <w:keepLines w:val="0"/>
        <w:pageBreakBefore w:val="0"/>
        <w:kinsoku/>
        <w:wordWrap w:val="0"/>
        <w:overflowPunct/>
        <w:topLinePunct/>
        <w:bidi w:val="0"/>
        <w:spacing w:before="142" w:line="330" w:lineRule="auto"/>
        <w:ind w:left="11" w:right="105" w:firstLine="473"/>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3.2  </w:t>
      </w:r>
      <w:r>
        <w:rPr>
          <w:rFonts w:hint="eastAsia" w:ascii="宋体" w:hAnsi="宋体" w:eastAsia="宋体" w:cs="宋体"/>
          <w:color w:val="auto"/>
          <w:spacing w:val="0"/>
          <w:sz w:val="24"/>
          <w:szCs w:val="24"/>
          <w:highlight w:val="none"/>
        </w:rPr>
        <w:t>只有申领了数字证书（CA）、“粤企签”或GDCA/SZCA/NETCA等符合法律法规规定的电子印章，并在交易系统中完成企业信息数据入库的投标人，方可使用建设工程交易系统进行招标文件及附件获取和电子投标。</w:t>
      </w:r>
    </w:p>
    <w:p w14:paraId="35D08C2A">
      <w:pPr>
        <w:keepNext w:val="0"/>
        <w:keepLines w:val="0"/>
        <w:pageBreakBefore w:val="0"/>
        <w:kinsoku/>
        <w:wordWrap w:val="0"/>
        <w:overflowPunct/>
        <w:topLinePunct/>
        <w:bidi w:val="0"/>
        <w:spacing w:before="32" w:line="332" w:lineRule="auto"/>
        <w:ind w:left="10" w:right="90"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首次在韶关市参与建设工程招标投标活动的投标人，必须在平台系统上传企业相关资料办理企业入库事宜。投标人可登录全国公共资源交易平台（广东省·韶关市）（</w:t>
      </w: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"https://ygp.gdzwfw.gov.cn/ggzy-portal/#/440200/index" </w:instrText>
      </w:r>
      <w:r>
        <w:rPr>
          <w:rFonts w:hint="eastAsia" w:ascii="宋体" w:hAnsi="宋体" w:eastAsia="宋体" w:cs="宋体"/>
          <w:color w:val="auto"/>
          <w:spacing w:val="0"/>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）办理企业入库、数字证书及电子印章事宜，具体请在平台查阅相应的交易指引。</w:t>
      </w:r>
    </w:p>
    <w:p w14:paraId="3A48BC3F">
      <w:pPr>
        <w:keepNext w:val="0"/>
        <w:keepLines w:val="0"/>
        <w:pageBreakBefore w:val="0"/>
        <w:kinsoku/>
        <w:wordWrap w:val="0"/>
        <w:overflowPunct/>
        <w:topLinePunct/>
        <w:bidi w:val="0"/>
        <w:spacing w:before="37" w:line="329" w:lineRule="auto"/>
        <w:ind w:left="9" w:right="105"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0F2D3CD7">
      <w:pPr>
        <w:keepNext w:val="0"/>
        <w:keepLines w:val="0"/>
        <w:pageBreakBefore w:val="0"/>
        <w:kinsoku/>
        <w:wordWrap w:val="0"/>
        <w:overflowPunct/>
        <w:topLinePunct/>
        <w:bidi w:val="0"/>
        <w:spacing w:before="33" w:line="335" w:lineRule="auto"/>
        <w:ind w:left="10" w:right="105" w:firstLine="508"/>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 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64F08966">
      <w:pPr>
        <w:keepNext w:val="0"/>
        <w:keepLines w:val="0"/>
        <w:pageBreakBefore w:val="0"/>
        <w:kinsoku/>
        <w:wordWrap w:val="0"/>
        <w:overflowPunct/>
        <w:topLinePunct/>
        <w:bidi w:val="0"/>
        <w:spacing w:before="33" w:line="221"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投标保证</w:t>
      </w:r>
    </w:p>
    <w:p w14:paraId="34EA52DD">
      <w:pPr>
        <w:keepNext w:val="0"/>
        <w:keepLines w:val="0"/>
        <w:pageBreakBefore w:val="0"/>
        <w:kinsoku/>
        <w:wordWrap w:val="0"/>
        <w:overflowPunct/>
        <w:topLinePunct/>
        <w:bidi w:val="0"/>
        <w:spacing w:before="152" w:line="280" w:lineRule="auto"/>
        <w:ind w:left="8" w:right="105"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3.3.1  </w:t>
      </w:r>
      <w:r>
        <w:rPr>
          <w:rFonts w:hint="eastAsia" w:ascii="宋体" w:hAnsi="宋体" w:eastAsia="宋体" w:cs="宋体"/>
          <w:color w:val="auto"/>
          <w:spacing w:val="0"/>
          <w:sz w:val="24"/>
          <w:szCs w:val="24"/>
          <w:highlight w:val="none"/>
        </w:rPr>
        <w:t>投标人须缴纳金额为</w:t>
      </w:r>
      <w:r>
        <w:rPr>
          <w:rFonts w:hint="eastAsia" w:ascii="宋体" w:hAnsi="宋体" w:eastAsia="宋体" w:cs="宋体"/>
          <w:color w:val="auto"/>
          <w:spacing w:val="0"/>
          <w:sz w:val="24"/>
          <w:szCs w:val="24"/>
          <w:highlight w:val="none"/>
          <w:u w:val="single"/>
          <w:lang w:val="en-US" w:eastAsia="zh-CN"/>
        </w:rPr>
        <w:t>100000.00</w:t>
      </w:r>
      <w:r>
        <w:rPr>
          <w:rFonts w:hint="eastAsia" w:ascii="宋体" w:hAnsi="宋体" w:eastAsia="宋体" w:cs="宋体"/>
          <w:color w:val="auto"/>
          <w:spacing w:val="0"/>
          <w:sz w:val="24"/>
          <w:szCs w:val="24"/>
          <w:highlight w:val="none"/>
          <w:u w:val="none"/>
          <w:lang w:val="en-US" w:eastAsia="zh-CN"/>
        </w:rPr>
        <w:t>元</w:t>
      </w:r>
      <w:r>
        <w:rPr>
          <w:rFonts w:hint="eastAsia" w:ascii="宋体" w:hAnsi="宋体" w:eastAsia="宋体" w:cs="宋体"/>
          <w:color w:val="auto"/>
          <w:spacing w:val="0"/>
          <w:sz w:val="24"/>
          <w:szCs w:val="24"/>
          <w:highlight w:val="none"/>
        </w:rPr>
        <w:t>人民币的投标保证。</w:t>
      </w:r>
    </w:p>
    <w:p w14:paraId="32B01716">
      <w:pPr>
        <w:keepNext w:val="0"/>
        <w:keepLines w:val="0"/>
        <w:pageBreakBefore w:val="0"/>
        <w:kinsoku/>
        <w:wordWrap w:val="0"/>
        <w:overflowPunct/>
        <w:topLinePunct/>
        <w:bidi w:val="0"/>
        <w:spacing w:before="35" w:line="325" w:lineRule="auto"/>
        <w:ind w:left="12" w:right="108" w:firstLine="471"/>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3.3.2  </w:t>
      </w:r>
      <w:r>
        <w:rPr>
          <w:rFonts w:hint="eastAsia" w:ascii="宋体" w:hAnsi="宋体" w:eastAsia="宋体" w:cs="宋体"/>
          <w:color w:val="auto"/>
          <w:spacing w:val="0"/>
          <w:sz w:val="24"/>
          <w:szCs w:val="24"/>
          <w:highlight w:val="none"/>
        </w:rPr>
        <w:t>投标保证的形式包括投标保证金、投标保证担保、投标保证保险三种，由投标人自主选择。</w:t>
      </w:r>
    </w:p>
    <w:p w14:paraId="02C8EF11">
      <w:pPr>
        <w:keepNext w:val="0"/>
        <w:keepLines w:val="0"/>
        <w:pageBreakBefore w:val="0"/>
        <w:kinsoku/>
        <w:wordWrap w:val="0"/>
        <w:overflowPunct/>
        <w:topLinePunct/>
        <w:bidi w:val="0"/>
        <w:spacing w:before="78" w:line="334" w:lineRule="auto"/>
        <w:ind w:left="12" w:right="2" w:firstLine="490"/>
        <w:jc w:val="both"/>
        <w:rPr>
          <w:rFonts w:hint="eastAsia" w:ascii="宋体" w:hAnsi="宋体" w:eastAsia="宋体" w:cs="宋体"/>
          <w:color w:val="auto"/>
          <w:spacing w:val="0"/>
          <w:sz w:val="24"/>
          <w:szCs w:val="24"/>
          <w:highlight w:val="none"/>
        </w:rPr>
      </w:pPr>
      <w:bookmarkStart w:id="22" w:name="bookmark117"/>
      <w:bookmarkEnd w:id="22"/>
      <w:r>
        <w:rPr>
          <w:rFonts w:hint="eastAsia" w:ascii="宋体" w:hAnsi="宋体" w:eastAsia="宋体" w:cs="宋体"/>
          <w:color w:val="auto"/>
          <w:spacing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招标文件“重要事项时间地点一览表 ”）前，从其基本账户将投标保证金转账到指定的缴纳账号。逾期到账的、从非投标人基本账户转出的，其投标无效。</w:t>
      </w:r>
    </w:p>
    <w:p w14:paraId="2E6D4C30">
      <w:pPr>
        <w:keepNext w:val="0"/>
        <w:keepLines w:val="0"/>
        <w:pageBreakBefore w:val="0"/>
        <w:kinsoku/>
        <w:wordWrap w:val="0"/>
        <w:overflowPunct/>
        <w:topLinePunct/>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5424FF11">
      <w:pPr>
        <w:keepNext w:val="0"/>
        <w:keepLines w:val="0"/>
        <w:pageBreakBefore w:val="0"/>
        <w:kinsoku/>
        <w:wordWrap w:val="0"/>
        <w:overflowPunct/>
        <w:topLinePunct/>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采用投标保证保险的，投标人须在投标保证保险投保截止时间（见本招标文件“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"https://ygp.gdzwfw.gov.cn/ggzy-portal/#/440200/index"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），在【服务指南】栏目中下载《建设工程网上交易系统保险保证金缴纳操作指南》，了解网上投保具体操作流程。逾期投保的，其投标无效。</w:t>
      </w:r>
    </w:p>
    <w:p w14:paraId="00060E8C">
      <w:pPr>
        <w:keepNext w:val="0"/>
        <w:keepLines w:val="0"/>
        <w:pageBreakBefore w:val="0"/>
        <w:kinsoku/>
        <w:wordWrap w:val="0"/>
        <w:overflowPunct/>
        <w:topLinePunct/>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6258EE20">
      <w:pPr>
        <w:keepNext w:val="0"/>
        <w:keepLines w:val="0"/>
        <w:pageBreakBefore w:val="0"/>
        <w:kinsoku/>
        <w:wordWrap w:val="0"/>
        <w:overflowPunct/>
        <w:topLinePunct/>
        <w:bidi w:val="0"/>
        <w:spacing w:before="78" w:line="334" w:lineRule="auto"/>
        <w:ind w:left="12" w:right="2" w:firstLine="49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 xml:space="preserve"> 若投标人因自身原因未能正确完成获取招标文件、电子投标、缴纳投标保证的，其投标无效。</w:t>
      </w:r>
    </w:p>
    <w:p w14:paraId="579B9185">
      <w:pPr>
        <w:keepNext w:val="0"/>
        <w:keepLines w:val="0"/>
        <w:pageBreakBefore w:val="0"/>
        <w:kinsoku/>
        <w:wordWrap w:val="0"/>
        <w:overflowPunct/>
        <w:topLinePunct/>
        <w:bidi w:val="0"/>
        <w:spacing w:before="79" w:line="221" w:lineRule="auto"/>
        <w:ind w:left="487"/>
        <w:outlineLvl w:val="4"/>
        <w:rPr>
          <w:rFonts w:hint="eastAsia" w:ascii="宋体" w:hAnsi="宋体" w:eastAsia="宋体" w:cs="宋体"/>
          <w:b/>
          <w:bCs/>
          <w:color w:val="auto"/>
          <w:spacing w:val="0"/>
          <w:sz w:val="24"/>
          <w:szCs w:val="24"/>
          <w:highlight w:val="none"/>
        </w:rPr>
      </w:pPr>
      <w:bookmarkStart w:id="23" w:name="bookmark78"/>
      <w:bookmarkEnd w:id="23"/>
      <w:bookmarkStart w:id="24" w:name="bookmark64"/>
      <w:bookmarkEnd w:id="24"/>
      <w:bookmarkStart w:id="25" w:name="_Toc15498"/>
    </w:p>
    <w:p w14:paraId="3909728F">
      <w:pPr>
        <w:keepNext w:val="0"/>
        <w:keepLines w:val="0"/>
        <w:pageBreakBefore w:val="0"/>
        <w:kinsoku/>
        <w:wordWrap w:val="0"/>
        <w:overflowPunct/>
        <w:topLinePunct/>
        <w:bidi w:val="0"/>
        <w:spacing w:before="79" w:line="221" w:lineRule="auto"/>
        <w:ind w:left="487"/>
        <w:outlineLvl w:val="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．工期要求</w:t>
      </w:r>
      <w:bookmarkEnd w:id="25"/>
    </w:p>
    <w:p w14:paraId="0C4E89B7">
      <w:pPr>
        <w:keepNext w:val="0"/>
        <w:keepLines w:val="0"/>
        <w:pageBreakBefore w:val="0"/>
        <w:kinsoku/>
        <w:wordWrap w:val="0"/>
        <w:overflowPunct/>
        <w:topLinePunct/>
        <w:bidi w:val="0"/>
        <w:spacing w:before="153" w:line="324" w:lineRule="auto"/>
        <w:ind w:left="30" w:right="65" w:firstLine="4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本招标项目招标工期为</w:t>
      </w:r>
      <w:r>
        <w:rPr>
          <w:rFonts w:hint="eastAsia" w:ascii="宋体" w:hAnsi="宋体" w:eastAsia="宋体" w:cs="宋体"/>
          <w:snapToGrid w:val="0"/>
          <w:color w:val="auto"/>
          <w:spacing w:val="0"/>
          <w:kern w:val="0"/>
          <w:sz w:val="24"/>
          <w:szCs w:val="24"/>
          <w:highlight w:val="none"/>
          <w:u w:val="single"/>
          <w:lang w:val="en-US" w:eastAsia="zh-CN"/>
        </w:rPr>
        <w:t>45</w:t>
      </w:r>
      <w:r>
        <w:rPr>
          <w:rFonts w:hint="eastAsia" w:ascii="宋体" w:hAnsi="宋体" w:eastAsia="宋体" w:cs="宋体"/>
          <w:color w:val="auto"/>
          <w:spacing w:val="0"/>
          <w:sz w:val="24"/>
          <w:szCs w:val="24"/>
          <w:highlight w:val="none"/>
          <w:u w:val="single"/>
          <w:lang w:val="en-US" w:eastAsia="zh-CN"/>
        </w:rPr>
        <w:t>个日历天</w:t>
      </w:r>
      <w:r>
        <w:rPr>
          <w:rFonts w:hint="eastAsia" w:ascii="宋体" w:hAnsi="宋体" w:eastAsia="宋体" w:cs="宋体"/>
          <w:color w:val="auto"/>
          <w:spacing w:val="0"/>
          <w:sz w:val="24"/>
          <w:szCs w:val="24"/>
          <w:highlight w:val="none"/>
        </w:rPr>
        <w:t>，中标人必须在招标工期内完成招标范围内的全部内容。</w:t>
      </w:r>
    </w:p>
    <w:p w14:paraId="73DF8E9E">
      <w:pPr>
        <w:keepNext w:val="0"/>
        <w:keepLines w:val="0"/>
        <w:pageBreakBefore w:val="0"/>
        <w:kinsoku/>
        <w:wordWrap w:val="0"/>
        <w:overflowPunct/>
        <w:topLinePunct/>
        <w:bidi w:val="0"/>
        <w:spacing w:before="78" w:line="219" w:lineRule="auto"/>
        <w:ind w:left="488"/>
        <w:outlineLvl w:val="4"/>
        <w:rPr>
          <w:rFonts w:hint="eastAsia" w:ascii="宋体" w:hAnsi="宋体" w:eastAsia="宋体" w:cs="宋体"/>
          <w:b/>
          <w:bCs/>
          <w:color w:val="auto"/>
          <w:spacing w:val="0"/>
          <w:sz w:val="24"/>
          <w:szCs w:val="24"/>
          <w:highlight w:val="none"/>
        </w:rPr>
      </w:pPr>
      <w:bookmarkStart w:id="26" w:name="_Toc4154"/>
    </w:p>
    <w:p w14:paraId="49BE9C9E">
      <w:pPr>
        <w:keepNext w:val="0"/>
        <w:keepLines w:val="0"/>
        <w:pageBreakBefore w:val="0"/>
        <w:widowControl/>
        <w:kinsoku/>
        <w:wordWrap w:val="0"/>
        <w:overflowPunct/>
        <w:topLinePunct/>
        <w:autoSpaceDE w:val="0"/>
        <w:autoSpaceDN w:val="0"/>
        <w:bidi w:val="0"/>
        <w:adjustRightInd w:val="0"/>
        <w:snapToGrid w:val="0"/>
        <w:spacing w:line="360" w:lineRule="auto"/>
        <w:ind w:left="488"/>
        <w:textAlignment w:val="baseline"/>
        <w:outlineLvl w:val="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．质量标准和材料、机械要求</w:t>
      </w:r>
      <w:bookmarkEnd w:id="26"/>
    </w:p>
    <w:p w14:paraId="7A31E4C3">
      <w:pPr>
        <w:keepNext w:val="0"/>
        <w:keepLines w:val="0"/>
        <w:pageBreakBefore w:val="0"/>
        <w:widowControl/>
        <w:kinsoku/>
        <w:wordWrap w:val="0"/>
        <w:overflowPunct/>
        <w:topLinePunct/>
        <w:autoSpaceDE w:val="0"/>
        <w:autoSpaceDN w:val="0"/>
        <w:bidi w:val="0"/>
        <w:adjustRightInd w:val="0"/>
        <w:snapToGrid w:val="0"/>
        <w:spacing w:line="360" w:lineRule="auto"/>
        <w:ind w:left="11" w:right="99"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5.1  </w:t>
      </w:r>
      <w:r>
        <w:rPr>
          <w:rFonts w:hint="eastAsia" w:ascii="宋体" w:hAnsi="宋体" w:eastAsia="宋体" w:cs="宋体"/>
          <w:color w:val="auto"/>
          <w:spacing w:val="0"/>
          <w:sz w:val="24"/>
          <w:szCs w:val="24"/>
          <w:highlight w:val="none"/>
        </w:rPr>
        <w:t>施工工艺严格按照国家和广东省的有关现行施工技术规范及标准执行，工程质量标准</w:t>
      </w:r>
      <w:r>
        <w:rPr>
          <w:rFonts w:hint="eastAsia" w:ascii="宋体" w:hAnsi="宋体" w:eastAsia="宋体" w:cs="宋体"/>
          <w:color w:val="auto"/>
          <w:spacing w:val="0"/>
          <w:sz w:val="24"/>
          <w:szCs w:val="24"/>
          <w:highlight w:val="none"/>
          <w:u w:val="single"/>
          <w:lang w:val="en-US" w:eastAsia="zh-CN"/>
        </w:rPr>
        <w:t>符合现行国家有关工程施工质量验收规范和标准的要求，达到验收合格标准</w:t>
      </w:r>
      <w:r>
        <w:rPr>
          <w:rFonts w:hint="eastAsia" w:ascii="宋体" w:hAnsi="宋体" w:eastAsia="宋体" w:cs="宋体"/>
          <w:color w:val="auto"/>
          <w:spacing w:val="0"/>
          <w:sz w:val="24"/>
          <w:szCs w:val="24"/>
          <w:highlight w:val="none"/>
        </w:rPr>
        <w:t>。</w:t>
      </w:r>
    </w:p>
    <w:p w14:paraId="5410B80B">
      <w:pPr>
        <w:keepNext w:val="0"/>
        <w:keepLines w:val="0"/>
        <w:pageBreakBefore w:val="0"/>
        <w:widowControl/>
        <w:kinsoku/>
        <w:wordWrap w:val="0"/>
        <w:overflowPunct/>
        <w:topLinePunct/>
        <w:autoSpaceDE w:val="0"/>
        <w:autoSpaceDN w:val="0"/>
        <w:bidi w:val="0"/>
        <w:adjustRightInd w:val="0"/>
        <w:snapToGrid w:val="0"/>
        <w:spacing w:line="360" w:lineRule="auto"/>
        <w:ind w:left="10" w:right="99" w:firstLine="55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中标人在施工中如果工程质量不符合设计要求和有关规定，招标人或监理单位要求停工和返工的必须立即执行，并承担由此产生的各种费用，工期不予顺延。</w:t>
      </w:r>
    </w:p>
    <w:p w14:paraId="56B1C0DF">
      <w:pPr>
        <w:keepNext w:val="0"/>
        <w:keepLines w:val="0"/>
        <w:pageBreakBefore w:val="0"/>
        <w:widowControl/>
        <w:kinsoku/>
        <w:wordWrap w:val="0"/>
        <w:overflowPunct/>
        <w:topLinePunct/>
        <w:autoSpaceDE w:val="0"/>
        <w:autoSpaceDN w:val="0"/>
        <w:bidi w:val="0"/>
        <w:adjustRightInd w:val="0"/>
        <w:snapToGrid w:val="0"/>
        <w:spacing w:line="360" w:lineRule="auto"/>
        <w:ind w:left="9" w:firstLine="56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5.3  </w:t>
      </w:r>
      <w:r>
        <w:rPr>
          <w:rFonts w:hint="eastAsia" w:ascii="宋体" w:hAnsi="宋体" w:eastAsia="宋体" w:cs="宋体"/>
          <w:color w:val="auto"/>
          <w:spacing w:val="0"/>
          <w:sz w:val="24"/>
          <w:szCs w:val="24"/>
          <w:highlight w:val="none"/>
        </w:rPr>
        <w:t>保修期限按《建设工程质量管理条例》（中华人民共和国国务院令第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71947228">
      <w:pPr>
        <w:keepNext w:val="0"/>
        <w:keepLines w:val="0"/>
        <w:pageBreakBefore w:val="0"/>
        <w:widowControl/>
        <w:kinsoku/>
        <w:wordWrap w:val="0"/>
        <w:overflowPunct/>
        <w:topLinePunct/>
        <w:autoSpaceDE w:val="0"/>
        <w:autoSpaceDN w:val="0"/>
        <w:bidi w:val="0"/>
        <w:adjustRightInd w:val="0"/>
        <w:snapToGrid w:val="0"/>
        <w:spacing w:line="360" w:lineRule="auto"/>
        <w:ind w:left="9" w:firstLine="56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5.4</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本项目本招标项目不纳入绿色建设实施范围。</w:t>
      </w:r>
    </w:p>
    <w:p w14:paraId="011BF15D">
      <w:pPr>
        <w:keepNext w:val="0"/>
        <w:keepLines w:val="0"/>
        <w:pageBreakBefore w:val="0"/>
        <w:widowControl/>
        <w:kinsoku/>
        <w:wordWrap w:val="0"/>
        <w:overflowPunct/>
        <w:topLinePunct/>
        <w:autoSpaceDE w:val="0"/>
        <w:autoSpaceDN w:val="0"/>
        <w:bidi w:val="0"/>
        <w:adjustRightInd w:val="0"/>
        <w:snapToGrid w:val="0"/>
        <w:spacing w:line="360" w:lineRule="auto"/>
        <w:ind w:left="11" w:firstLine="567"/>
        <w:textAlignment w:val="baseline"/>
        <w:rPr>
          <w:rFonts w:hint="eastAsia" w:ascii="宋体" w:hAnsi="宋体" w:eastAsia="宋体" w:cs="宋体"/>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5.5</w:t>
      </w:r>
      <w:r>
        <w:rPr>
          <w:rFonts w:hint="eastAsia" w:ascii="宋体" w:hAnsi="宋体" w:eastAsia="宋体" w:cs="宋体"/>
          <w:color w:val="auto"/>
          <w:spacing w:val="0"/>
          <w:sz w:val="24"/>
          <w:szCs w:val="24"/>
          <w:highlight w:val="none"/>
        </w:rPr>
        <w:t xml:space="preserve">  其它：</w:t>
      </w:r>
      <w:r>
        <w:rPr>
          <w:rFonts w:hint="eastAsia" w:ascii="宋体" w:hAnsi="宋体" w:eastAsia="宋体" w:cs="宋体"/>
          <w:color w:val="auto"/>
          <w:spacing w:val="0"/>
          <w:sz w:val="24"/>
          <w:szCs w:val="24"/>
          <w:highlight w:val="none"/>
          <w:lang w:eastAsia="zh-CN"/>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lang w:eastAsia="zh-CN"/>
        </w:rPr>
        <w:t>纳入装配式建造建设实施范围。</w:t>
      </w:r>
    </w:p>
    <w:p w14:paraId="397E2FB1">
      <w:pPr>
        <w:keepNext w:val="0"/>
        <w:keepLines w:val="0"/>
        <w:pageBreakBefore w:val="0"/>
        <w:widowControl/>
        <w:kinsoku/>
        <w:wordWrap w:val="0"/>
        <w:overflowPunct/>
        <w:topLinePunct/>
        <w:autoSpaceDE w:val="0"/>
        <w:autoSpaceDN w:val="0"/>
        <w:bidi w:val="0"/>
        <w:adjustRightInd w:val="0"/>
        <w:snapToGrid w:val="0"/>
        <w:spacing w:line="360" w:lineRule="auto"/>
        <w:ind w:left="11" w:firstLine="567"/>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5.6</w:t>
      </w:r>
      <w:r>
        <w:rPr>
          <w:rFonts w:hint="eastAsia" w:ascii="宋体" w:hAnsi="宋体" w:eastAsia="宋体" w:cs="宋体"/>
          <w:color w:val="auto"/>
          <w:spacing w:val="0"/>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则中标人必须使用合格材料或设备。</w:t>
      </w:r>
    </w:p>
    <w:p w14:paraId="2CB613C1">
      <w:pPr>
        <w:keepNext w:val="0"/>
        <w:keepLines w:val="0"/>
        <w:pageBreakBefore w:val="0"/>
        <w:widowControl/>
        <w:kinsoku/>
        <w:wordWrap w:val="0"/>
        <w:overflowPunct/>
        <w:topLinePunct/>
        <w:autoSpaceDE w:val="0"/>
        <w:autoSpaceDN w:val="0"/>
        <w:bidi w:val="0"/>
        <w:adjustRightInd w:val="0"/>
        <w:snapToGrid w:val="0"/>
        <w:spacing w:line="360" w:lineRule="auto"/>
        <w:ind w:left="11" w:firstLine="567"/>
        <w:textAlignment w:val="baseline"/>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eastAsia="zh-CN"/>
        </w:rPr>
        <w:t>7</w:t>
      </w:r>
      <w:r>
        <w:rPr>
          <w:rFonts w:hint="eastAsia" w:ascii="宋体" w:hAnsi="宋体" w:eastAsia="宋体" w:cs="宋体"/>
          <w:color w:val="auto"/>
          <w:spacing w:val="0"/>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1091E370">
      <w:pPr>
        <w:keepNext w:val="0"/>
        <w:keepLines w:val="0"/>
        <w:pageBreakBefore w:val="0"/>
        <w:kinsoku/>
        <w:wordWrap w:val="0"/>
        <w:overflowPunct/>
        <w:topLinePunct/>
        <w:bidi w:val="0"/>
        <w:spacing w:before="78" w:line="220" w:lineRule="auto"/>
        <w:ind w:left="489"/>
        <w:outlineLvl w:val="4"/>
        <w:rPr>
          <w:rFonts w:hint="eastAsia" w:ascii="宋体" w:hAnsi="宋体" w:eastAsia="宋体" w:cs="宋体"/>
          <w:b/>
          <w:bCs/>
          <w:color w:val="auto"/>
          <w:spacing w:val="0"/>
          <w:sz w:val="24"/>
          <w:szCs w:val="24"/>
          <w:highlight w:val="none"/>
        </w:rPr>
      </w:pPr>
      <w:bookmarkStart w:id="27" w:name="_Toc7763"/>
    </w:p>
    <w:p w14:paraId="5182AFAA">
      <w:pPr>
        <w:keepNext w:val="0"/>
        <w:keepLines w:val="0"/>
        <w:pageBreakBefore w:val="0"/>
        <w:kinsoku/>
        <w:wordWrap w:val="0"/>
        <w:overflowPunct/>
        <w:topLinePunct/>
        <w:bidi w:val="0"/>
        <w:snapToGrid w:val="0"/>
        <w:spacing w:line="360" w:lineRule="auto"/>
        <w:ind w:left="489"/>
        <w:outlineLvl w:val="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 ．施工条件及现场踏勘</w:t>
      </w:r>
      <w:bookmarkEnd w:id="27"/>
    </w:p>
    <w:p w14:paraId="0078D813">
      <w:pPr>
        <w:keepNext w:val="0"/>
        <w:keepLines w:val="0"/>
        <w:pageBreakBefore w:val="0"/>
        <w:kinsoku/>
        <w:wordWrap w:val="0"/>
        <w:overflowPunct/>
        <w:topLinePunct/>
        <w:bidi w:val="0"/>
        <w:snapToGrid w:val="0"/>
        <w:spacing w:line="360"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6.1  </w:t>
      </w:r>
      <w:r>
        <w:rPr>
          <w:rFonts w:hint="eastAsia" w:ascii="宋体" w:hAnsi="宋体" w:eastAsia="宋体" w:cs="宋体"/>
          <w:color w:val="auto"/>
          <w:spacing w:val="0"/>
          <w:sz w:val="24"/>
          <w:szCs w:val="24"/>
          <w:highlight w:val="none"/>
        </w:rPr>
        <w:t>招标人仅在本招标项目征地红线范围内提供场地，其他一切场地费用由中标人自行负责（含临时道路）。</w:t>
      </w:r>
    </w:p>
    <w:p w14:paraId="5DF5E8C9">
      <w:pPr>
        <w:keepNext w:val="0"/>
        <w:keepLines w:val="0"/>
        <w:pageBreakBefore w:val="0"/>
        <w:kinsoku/>
        <w:wordWrap w:val="0"/>
        <w:overflowPunct/>
        <w:topLinePunct/>
        <w:bidi w:val="0"/>
        <w:snapToGrid w:val="0"/>
        <w:spacing w:line="360" w:lineRule="auto"/>
        <w:ind w:left="12" w:right="99" w:firstLine="556"/>
        <w:rPr>
          <w:rFonts w:hint="eastAsia" w:ascii="宋体" w:hAnsi="宋体" w:eastAsia="宋体" w:cs="宋体"/>
          <w:color w:val="auto"/>
          <w:spacing w:val="0"/>
          <w:sz w:val="24"/>
          <w:szCs w:val="24"/>
          <w:highlight w:val="none"/>
        </w:rPr>
      </w:pPr>
      <w:bookmarkStart w:id="28" w:name="bookmark118"/>
      <w:bookmarkEnd w:id="28"/>
      <w:r>
        <w:rPr>
          <w:rFonts w:hint="eastAsia" w:ascii="宋体" w:hAnsi="宋体" w:eastAsia="宋体" w:cs="宋体"/>
          <w:b/>
          <w:bCs/>
          <w:color w:val="auto"/>
          <w:spacing w:val="0"/>
          <w:sz w:val="24"/>
          <w:szCs w:val="24"/>
          <w:highlight w:val="none"/>
        </w:rPr>
        <w:t>6.2</w:t>
      </w:r>
      <w:r>
        <w:rPr>
          <w:rFonts w:hint="eastAsia" w:ascii="宋体" w:hAnsi="宋体" w:eastAsia="宋体" w:cs="宋体"/>
          <w:color w:val="auto"/>
          <w:spacing w:val="0"/>
          <w:sz w:val="24"/>
          <w:szCs w:val="24"/>
          <w:highlight w:val="none"/>
        </w:rPr>
        <w:t xml:space="preserve">  施工用水：</w:t>
      </w:r>
      <w:r>
        <w:rPr>
          <w:rFonts w:hint="eastAsia" w:ascii="宋体" w:hAnsi="宋体" w:eastAsia="宋体" w:cs="宋体"/>
          <w:color w:val="auto"/>
          <w:spacing w:val="0"/>
          <w:sz w:val="24"/>
          <w:szCs w:val="24"/>
          <w:highlight w:val="none"/>
          <w:u w:val="single"/>
        </w:rPr>
        <w:t>由中标人自行解决，费用考虑在投标报价中</w:t>
      </w:r>
      <w:r>
        <w:rPr>
          <w:rFonts w:hint="eastAsia" w:ascii="宋体" w:hAnsi="宋体" w:eastAsia="宋体" w:cs="宋体"/>
          <w:color w:val="auto"/>
          <w:spacing w:val="0"/>
          <w:sz w:val="24"/>
          <w:szCs w:val="24"/>
          <w:highlight w:val="none"/>
        </w:rPr>
        <w:t>。</w:t>
      </w:r>
    </w:p>
    <w:p w14:paraId="45DD2A8A">
      <w:pPr>
        <w:keepNext w:val="0"/>
        <w:keepLines w:val="0"/>
        <w:pageBreakBefore w:val="0"/>
        <w:kinsoku/>
        <w:wordWrap w:val="0"/>
        <w:overflowPunct/>
        <w:topLinePunct/>
        <w:bidi w:val="0"/>
        <w:snapToGrid w:val="0"/>
        <w:spacing w:line="360"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6.3</w:t>
      </w:r>
      <w:r>
        <w:rPr>
          <w:rFonts w:hint="eastAsia" w:ascii="宋体" w:hAnsi="宋体" w:eastAsia="宋体" w:cs="宋体"/>
          <w:color w:val="auto"/>
          <w:spacing w:val="0"/>
          <w:sz w:val="24"/>
          <w:szCs w:val="24"/>
          <w:highlight w:val="none"/>
        </w:rPr>
        <w:t xml:space="preserve">  施工用电：</w:t>
      </w:r>
      <w:r>
        <w:rPr>
          <w:rFonts w:hint="eastAsia" w:ascii="宋体" w:hAnsi="宋体" w:eastAsia="宋体" w:cs="宋体"/>
          <w:color w:val="auto"/>
          <w:spacing w:val="0"/>
          <w:sz w:val="24"/>
          <w:szCs w:val="24"/>
          <w:highlight w:val="none"/>
          <w:u w:val="single"/>
        </w:rPr>
        <w:t>由中标人自行解决，费用考虑在投标报价中</w:t>
      </w:r>
      <w:r>
        <w:rPr>
          <w:rFonts w:hint="eastAsia" w:ascii="宋体" w:hAnsi="宋体" w:eastAsia="宋体" w:cs="宋体"/>
          <w:color w:val="auto"/>
          <w:spacing w:val="0"/>
          <w:sz w:val="24"/>
          <w:szCs w:val="24"/>
          <w:highlight w:val="none"/>
        </w:rPr>
        <w:t>。</w:t>
      </w:r>
    </w:p>
    <w:p w14:paraId="2789CBE1">
      <w:pPr>
        <w:keepNext w:val="0"/>
        <w:keepLines w:val="0"/>
        <w:pageBreakBefore w:val="0"/>
        <w:kinsoku/>
        <w:wordWrap w:val="0"/>
        <w:overflowPunct/>
        <w:topLinePunct/>
        <w:bidi w:val="0"/>
        <w:snapToGrid w:val="0"/>
        <w:spacing w:line="360"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6.4</w:t>
      </w:r>
      <w:r>
        <w:rPr>
          <w:rFonts w:hint="eastAsia" w:ascii="宋体" w:hAnsi="宋体" w:eastAsia="宋体" w:cs="宋体"/>
          <w:color w:val="auto"/>
          <w:spacing w:val="0"/>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0"/>
          <w:sz w:val="24"/>
          <w:szCs w:val="24"/>
          <w:highlight w:val="none"/>
          <w:u w:val="single"/>
          <w:lang w:val="en-US" w:eastAsia="zh-CN"/>
        </w:rPr>
        <w:t>韶关市</w:t>
      </w:r>
      <w:r>
        <w:rPr>
          <w:rFonts w:hint="eastAsia" w:ascii="宋体" w:hAnsi="宋体" w:eastAsia="宋体" w:cs="宋体"/>
          <w:color w:val="auto"/>
          <w:spacing w:val="0"/>
          <w:sz w:val="24"/>
          <w:szCs w:val="24"/>
          <w:highlight w:val="none"/>
        </w:rPr>
        <w:t>基建工程水、电计费标准计算并由中标人缴纳。</w:t>
      </w:r>
    </w:p>
    <w:p w14:paraId="51AA520A">
      <w:pPr>
        <w:keepNext w:val="0"/>
        <w:keepLines w:val="0"/>
        <w:pageBreakBefore w:val="0"/>
        <w:kinsoku/>
        <w:wordWrap w:val="0"/>
        <w:overflowPunct/>
        <w:topLinePunct/>
        <w:bidi w:val="0"/>
        <w:snapToGrid w:val="0"/>
        <w:spacing w:line="36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6.5  </w:t>
      </w:r>
      <w:r>
        <w:rPr>
          <w:rFonts w:hint="eastAsia" w:ascii="宋体" w:hAnsi="宋体" w:eastAsia="宋体" w:cs="宋体"/>
          <w:color w:val="auto"/>
          <w:spacing w:val="0"/>
          <w:sz w:val="24"/>
          <w:szCs w:val="24"/>
          <w:highlight w:val="none"/>
        </w:rPr>
        <w:t>招标人不组织现场踏勘，但会在招标文件及有关设计文件中明确告知招标项目的具体位置和周边环境，并在现场设置足以识别的标识或提供足以表明招标项目具体位置的文字或图片。投标人需要了解现场情况的</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可自行进行现场踏勘。</w:t>
      </w:r>
    </w:p>
    <w:p w14:paraId="4AC85381">
      <w:pPr>
        <w:keepNext w:val="0"/>
        <w:keepLines w:val="0"/>
        <w:pageBreakBefore w:val="0"/>
        <w:kinsoku/>
        <w:wordWrap w:val="0"/>
        <w:overflowPunct/>
        <w:topLinePunct/>
        <w:bidi w:val="0"/>
        <w:snapToGrid w:val="0"/>
        <w:spacing w:line="36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6.6  </w:t>
      </w:r>
      <w:r>
        <w:rPr>
          <w:rFonts w:hint="eastAsia" w:ascii="宋体" w:hAnsi="宋体" w:eastAsia="宋体" w:cs="宋体"/>
          <w:color w:val="auto"/>
          <w:spacing w:val="0"/>
          <w:sz w:val="24"/>
          <w:szCs w:val="24"/>
          <w:highlight w:val="none"/>
        </w:rPr>
        <w:t>在现场踏勘过程中，投标人应确保自身安全，投标人如果发生人身伤亡、财物或其他损失，法律法规有规定的按有关规定处理，没有规定的由投标人自行负责。</w:t>
      </w:r>
    </w:p>
    <w:p w14:paraId="2DB7A98B">
      <w:pPr>
        <w:keepNext w:val="0"/>
        <w:keepLines w:val="0"/>
        <w:pageBreakBefore w:val="0"/>
        <w:kinsoku/>
        <w:wordWrap w:val="0"/>
        <w:overflowPunct/>
        <w:topLinePunct/>
        <w:bidi w:val="0"/>
        <w:snapToGrid w:val="0"/>
        <w:spacing w:line="360" w:lineRule="auto"/>
        <w:ind w:left="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6.7  </w:t>
      </w:r>
      <w:r>
        <w:rPr>
          <w:rFonts w:hint="eastAsia" w:ascii="宋体" w:hAnsi="宋体" w:eastAsia="宋体" w:cs="宋体"/>
          <w:color w:val="auto"/>
          <w:spacing w:val="0"/>
          <w:sz w:val="24"/>
          <w:szCs w:val="24"/>
          <w:highlight w:val="none"/>
        </w:rPr>
        <w:t>现场踏勘期间的交通、食宿由投标人自行安排，费用自理。</w:t>
      </w:r>
    </w:p>
    <w:p w14:paraId="74DF4884">
      <w:pPr>
        <w:keepNext w:val="0"/>
        <w:keepLines w:val="0"/>
        <w:pageBreakBefore w:val="0"/>
        <w:kinsoku/>
        <w:wordWrap w:val="0"/>
        <w:overflowPunct/>
        <w:topLinePunct/>
        <w:bidi w:val="0"/>
        <w:snapToGrid w:val="0"/>
        <w:spacing w:line="360" w:lineRule="auto"/>
        <w:ind w:left="488"/>
        <w:outlineLvl w:val="4"/>
        <w:rPr>
          <w:rFonts w:hint="eastAsia" w:ascii="宋体" w:hAnsi="宋体" w:eastAsia="宋体" w:cs="宋体"/>
          <w:b/>
          <w:bCs/>
          <w:color w:val="auto"/>
          <w:spacing w:val="0"/>
          <w:sz w:val="24"/>
          <w:szCs w:val="24"/>
          <w:highlight w:val="none"/>
        </w:rPr>
      </w:pPr>
      <w:bookmarkStart w:id="29" w:name="bookmark81"/>
      <w:bookmarkEnd w:id="29"/>
      <w:bookmarkStart w:id="30" w:name="bookmark69"/>
      <w:bookmarkEnd w:id="30"/>
      <w:bookmarkStart w:id="31" w:name="bookmark67"/>
      <w:bookmarkEnd w:id="31"/>
      <w:bookmarkStart w:id="32" w:name="_Toc15543"/>
    </w:p>
    <w:p w14:paraId="4C7C1107">
      <w:pPr>
        <w:keepNext w:val="0"/>
        <w:keepLines w:val="0"/>
        <w:pageBreakBefore w:val="0"/>
        <w:kinsoku/>
        <w:wordWrap w:val="0"/>
        <w:overflowPunct/>
        <w:topLinePunct/>
        <w:bidi w:val="0"/>
        <w:snapToGrid w:val="0"/>
        <w:spacing w:line="360" w:lineRule="auto"/>
        <w:ind w:left="488"/>
        <w:outlineLvl w:val="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7 ．招标文件的提问和答疑</w:t>
      </w:r>
      <w:bookmarkEnd w:id="32"/>
    </w:p>
    <w:p w14:paraId="55A37633">
      <w:pPr>
        <w:keepNext w:val="0"/>
        <w:keepLines w:val="0"/>
        <w:pageBreakBefore w:val="0"/>
        <w:kinsoku/>
        <w:wordWrap w:val="0"/>
        <w:overflowPunct/>
        <w:topLinePunct/>
        <w:bidi w:val="0"/>
        <w:snapToGrid w:val="0"/>
        <w:spacing w:line="360" w:lineRule="auto"/>
        <w:ind w:left="9" w:right="16" w:firstLine="47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7.1  </w:t>
      </w:r>
      <w:r>
        <w:rPr>
          <w:rFonts w:hint="eastAsia" w:ascii="宋体" w:hAnsi="宋体" w:eastAsia="宋体" w:cs="宋体"/>
          <w:color w:val="auto"/>
          <w:spacing w:val="0"/>
          <w:sz w:val="24"/>
          <w:szCs w:val="24"/>
          <w:highlight w:val="none"/>
        </w:rPr>
        <w:t>投标人若对招标文件（含施工图、招标工程量清单）有疑问，应在提问截止时间（见本章第二节“重要事项时间地点一览表”）前使用建设工程交易系统提出问题。未在指定时间前、未采用指定方式提出的，招标人不予受理。</w:t>
      </w:r>
    </w:p>
    <w:p w14:paraId="2D6DA251">
      <w:pPr>
        <w:keepNext w:val="0"/>
        <w:keepLines w:val="0"/>
        <w:pageBreakBefore w:val="0"/>
        <w:kinsoku/>
        <w:wordWrap w:val="0"/>
        <w:overflowPunct/>
        <w:topLinePunct/>
        <w:bidi w:val="0"/>
        <w:snapToGrid w:val="0"/>
        <w:spacing w:line="36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7.2  </w:t>
      </w:r>
      <w:r>
        <w:rPr>
          <w:rFonts w:hint="eastAsia" w:ascii="宋体" w:hAnsi="宋体" w:eastAsia="宋体" w:cs="宋体"/>
          <w:color w:val="auto"/>
          <w:spacing w:val="0"/>
          <w:sz w:val="24"/>
          <w:szCs w:val="24"/>
          <w:highlight w:val="none"/>
        </w:rPr>
        <w:t>招标人在提问截止时间（见本章第二节“重要事项时间地点一览表”）后 3 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3138C57">
      <w:pPr>
        <w:keepNext w:val="0"/>
        <w:keepLines w:val="0"/>
        <w:pageBreakBefore w:val="0"/>
        <w:kinsoku/>
        <w:wordWrap w:val="0"/>
        <w:overflowPunct/>
        <w:topLinePunct/>
        <w:bidi w:val="0"/>
        <w:snapToGrid w:val="0"/>
        <w:spacing w:line="360"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7.3  </w:t>
      </w:r>
      <w:r>
        <w:rPr>
          <w:rFonts w:hint="eastAsia" w:ascii="宋体" w:hAnsi="宋体" w:eastAsia="宋体" w:cs="宋体"/>
          <w:color w:val="auto"/>
          <w:spacing w:val="0"/>
          <w:sz w:val="24"/>
          <w:szCs w:val="24"/>
          <w:highlight w:val="none"/>
        </w:rPr>
        <w:t>招标人对招标文件所作的答疑（或修改）公告，构成招标文件的组成部分。</w:t>
      </w:r>
    </w:p>
    <w:p w14:paraId="7E0351FC">
      <w:pPr>
        <w:keepNext w:val="0"/>
        <w:keepLines w:val="0"/>
        <w:pageBreakBefore w:val="0"/>
        <w:kinsoku/>
        <w:wordWrap w:val="0"/>
        <w:overflowPunct/>
        <w:topLinePunct/>
        <w:bidi w:val="0"/>
        <w:snapToGrid w:val="0"/>
        <w:spacing w:line="360" w:lineRule="auto"/>
        <w:ind w:left="488"/>
        <w:outlineLvl w:val="4"/>
        <w:rPr>
          <w:rFonts w:hint="eastAsia" w:ascii="宋体" w:hAnsi="宋体" w:eastAsia="宋体" w:cs="宋体"/>
          <w:b/>
          <w:bCs/>
          <w:color w:val="auto"/>
          <w:spacing w:val="0"/>
          <w:sz w:val="24"/>
          <w:szCs w:val="24"/>
          <w:highlight w:val="none"/>
        </w:rPr>
      </w:pPr>
      <w:bookmarkStart w:id="33" w:name="_Toc6897"/>
    </w:p>
    <w:p w14:paraId="7BDC1913">
      <w:pPr>
        <w:keepNext w:val="0"/>
        <w:keepLines w:val="0"/>
        <w:pageBreakBefore w:val="0"/>
        <w:kinsoku/>
        <w:wordWrap w:val="0"/>
        <w:overflowPunct/>
        <w:topLinePunct/>
        <w:bidi w:val="0"/>
        <w:snapToGrid w:val="0"/>
        <w:spacing w:line="360" w:lineRule="auto"/>
        <w:ind w:left="488"/>
        <w:outlineLvl w:val="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 ．</w:t>
      </w:r>
      <w:bookmarkEnd w:id="33"/>
      <w:r>
        <w:rPr>
          <w:rFonts w:hint="eastAsia" w:ascii="宋体" w:hAnsi="宋体" w:eastAsia="宋体" w:cs="宋体"/>
          <w:b/>
          <w:bCs/>
          <w:color w:val="auto"/>
          <w:spacing w:val="0"/>
          <w:sz w:val="24"/>
          <w:szCs w:val="24"/>
          <w:highlight w:val="none"/>
          <w:lang w:val="en-US" w:eastAsia="zh-CN"/>
        </w:rPr>
        <w:t>招标控制价及最高投标限价</w:t>
      </w:r>
    </w:p>
    <w:p w14:paraId="6C2664BE">
      <w:pPr>
        <w:keepNext w:val="0"/>
        <w:keepLines w:val="0"/>
        <w:pageBreakBefore w:val="0"/>
        <w:kinsoku/>
        <w:wordWrap w:val="0"/>
        <w:overflowPunct/>
        <w:topLinePunct/>
        <w:bidi w:val="0"/>
        <w:snapToGrid w:val="0"/>
        <w:spacing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8.1  </w:t>
      </w:r>
      <w:r>
        <w:rPr>
          <w:rFonts w:hint="eastAsia" w:ascii="宋体" w:hAnsi="宋体" w:eastAsia="宋体" w:cs="宋体"/>
          <w:color w:val="auto"/>
          <w:spacing w:val="0"/>
          <w:sz w:val="24"/>
          <w:szCs w:val="24"/>
          <w:highlight w:val="none"/>
        </w:rPr>
        <w:t>本招标项目按照以下依据编制</w:t>
      </w:r>
      <w:r>
        <w:rPr>
          <w:rFonts w:hint="eastAsia" w:ascii="宋体" w:hAnsi="宋体" w:eastAsia="宋体" w:cs="宋体"/>
          <w:b/>
          <w:bCs/>
          <w:color w:val="auto"/>
          <w:spacing w:val="0"/>
          <w:sz w:val="24"/>
          <w:szCs w:val="24"/>
          <w:highlight w:val="none"/>
          <w:lang w:val="en-US" w:eastAsia="zh-CN"/>
        </w:rPr>
        <w:t>招标控制价</w:t>
      </w:r>
      <w:r>
        <w:rPr>
          <w:rFonts w:hint="eastAsia" w:ascii="宋体" w:hAnsi="宋体" w:eastAsia="宋体" w:cs="宋体"/>
          <w:color w:val="auto"/>
          <w:spacing w:val="0"/>
          <w:sz w:val="24"/>
          <w:szCs w:val="24"/>
          <w:highlight w:val="none"/>
        </w:rPr>
        <w:t>：</w:t>
      </w:r>
    </w:p>
    <w:p w14:paraId="6DD7559E">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）《房屋建筑与装饰工程工程量计算规范》（GB/T50854-2024）；</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）《通用安装工程工程量清单计价规范》（GB/T50856-2024）；</w:t>
      </w:r>
      <w:r>
        <w:rPr>
          <w:rFonts w:hint="eastAsia" w:ascii="宋体" w:hAnsi="宋体" w:eastAsia="宋体" w:cs="宋体"/>
          <w:color w:val="auto"/>
          <w:spacing w:val="0"/>
          <w:sz w:val="24"/>
          <w:szCs w:val="24"/>
          <w:highlight w:val="none"/>
          <w:lang w:eastAsia="zh-CN"/>
        </w:rPr>
        <w:br w:type="textWrapping"/>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）《市政工程工程量计算规范》(GB/T50857-2024）；</w:t>
      </w:r>
    </w:p>
    <w:p w14:paraId="4CE64369">
      <w:pPr>
        <w:keepNext w:val="0"/>
        <w:keepLines w:val="0"/>
        <w:pageBreakBefore w:val="0"/>
        <w:kinsoku/>
        <w:wordWrap w:val="0"/>
        <w:overflowPunct/>
        <w:topLinePunct/>
        <w:bidi w:val="0"/>
        <w:snapToGrid w:val="0"/>
        <w:spacing w:line="360" w:lineRule="auto"/>
        <w:ind w:left="9" w:right="1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5</w:t>
      </w:r>
      <w:r>
        <w:rPr>
          <w:rFonts w:hint="eastAsia" w:ascii="宋体" w:hAnsi="宋体" w:eastAsia="宋体" w:cs="宋体"/>
          <w:color w:val="auto"/>
          <w:spacing w:val="0"/>
          <w:sz w:val="24"/>
          <w:szCs w:val="24"/>
          <w:highlight w:val="none"/>
        </w:rPr>
        <w:t>）《广东省建设工程计价依据（2018）》和《关于调整〈广东省建设工程计价依据2018〉计价规则的通知》（粤标定函〔2025〕22号）。具体包括：《广东省房屋建筑与装饰工程综合定额（2018）》《广东省市政工程综合定额（2018）》《广东省通用安装工程综合定额（2018）》等；</w:t>
      </w:r>
    </w:p>
    <w:p w14:paraId="614FC7AE">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）施工图及相关资料；</w:t>
      </w:r>
    </w:p>
    <w:p w14:paraId="428A1542">
      <w:pPr>
        <w:keepNext w:val="0"/>
        <w:keepLines w:val="0"/>
        <w:pageBreakBefore w:val="0"/>
        <w:kinsoku/>
        <w:wordWrap w:val="0"/>
        <w:overflowPunct/>
        <w:topLinePunct/>
        <w:bidi w:val="0"/>
        <w:snapToGrid w:val="0"/>
        <w:spacing w:line="360" w:lineRule="auto"/>
        <w:ind w:left="502"/>
        <w:rPr>
          <w:rFonts w:hint="eastAsia" w:ascii="宋体" w:hAnsi="宋体" w:eastAsia="宋体" w:cs="宋体"/>
          <w:color w:val="auto"/>
          <w:spacing w:val="0"/>
          <w:sz w:val="24"/>
          <w:szCs w:val="24"/>
          <w:highlight w:val="none"/>
        </w:rPr>
      </w:pPr>
      <w:bookmarkStart w:id="34" w:name="bookmark119"/>
      <w:bookmarkEnd w:id="34"/>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7</w:t>
      </w:r>
      <w:r>
        <w:rPr>
          <w:rFonts w:hint="eastAsia" w:ascii="宋体" w:hAnsi="宋体" w:eastAsia="宋体" w:cs="宋体"/>
          <w:color w:val="auto"/>
          <w:spacing w:val="0"/>
          <w:sz w:val="24"/>
          <w:szCs w:val="24"/>
          <w:highlight w:val="none"/>
        </w:rPr>
        <w:t>）招标文件及招标工程量清单；</w:t>
      </w:r>
    </w:p>
    <w:p w14:paraId="3E140101">
      <w:pPr>
        <w:keepNext w:val="0"/>
        <w:keepLines w:val="0"/>
        <w:pageBreakBefore w:val="0"/>
        <w:kinsoku/>
        <w:wordWrap w:val="0"/>
        <w:overflowPunct/>
        <w:topLinePunct/>
        <w:bidi w:val="0"/>
        <w:snapToGrid w:val="0"/>
        <w:spacing w:line="36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）施工现场情况、工程特点及常规施工方案；</w:t>
      </w:r>
    </w:p>
    <w:p w14:paraId="6076DE17">
      <w:pPr>
        <w:keepNext w:val="0"/>
        <w:keepLines w:val="0"/>
        <w:pageBreakBefore w:val="0"/>
        <w:kinsoku/>
        <w:wordWrap w:val="0"/>
        <w:overflowPunct/>
        <w:topLinePunct/>
        <w:bidi w:val="0"/>
        <w:snapToGrid w:val="0"/>
        <w:spacing w:line="360" w:lineRule="auto"/>
        <w:ind w:left="12" w:right="136"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9</w:t>
      </w:r>
      <w:r>
        <w:rPr>
          <w:rFonts w:hint="eastAsia" w:ascii="宋体" w:hAnsi="宋体" w:eastAsia="宋体" w:cs="宋体"/>
          <w:color w:val="auto"/>
          <w:spacing w:val="0"/>
          <w:sz w:val="24"/>
          <w:szCs w:val="24"/>
          <w:highlight w:val="none"/>
        </w:rPr>
        <w:t>）项目所在地工程造价管理机构发布的工程造价信息，工程造价信息缺项的，参照市场价格；</w:t>
      </w:r>
    </w:p>
    <w:p w14:paraId="2529A12A">
      <w:pPr>
        <w:keepNext w:val="0"/>
        <w:keepLines w:val="0"/>
        <w:pageBreakBefore w:val="0"/>
        <w:kinsoku/>
        <w:wordWrap w:val="0"/>
        <w:overflowPunct/>
        <w:topLinePunct/>
        <w:bidi w:val="0"/>
        <w:snapToGrid w:val="0"/>
        <w:spacing w:line="36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10</w:t>
      </w:r>
      <w:r>
        <w:rPr>
          <w:rFonts w:hint="eastAsia" w:ascii="宋体" w:hAnsi="宋体" w:eastAsia="宋体" w:cs="宋体"/>
          <w:color w:val="auto"/>
          <w:spacing w:val="0"/>
          <w:sz w:val="24"/>
          <w:szCs w:val="24"/>
          <w:highlight w:val="none"/>
        </w:rPr>
        <w:t>）与建设项目相关的标准、规范、技术资料。</w:t>
      </w:r>
    </w:p>
    <w:p w14:paraId="74DA975E">
      <w:pPr>
        <w:keepNext w:val="0"/>
        <w:keepLines w:val="0"/>
        <w:pageBreakBefore w:val="0"/>
        <w:widowControl w:val="0"/>
        <w:numPr>
          <w:ilvl w:val="0"/>
          <w:numId w:val="0"/>
        </w:numPr>
        <w:kinsoku/>
        <w:wordWrap w:val="0"/>
        <w:overflowPunct/>
        <w:topLinePunct/>
        <w:autoSpaceDE/>
        <w:autoSpaceDN/>
        <w:bidi w:val="0"/>
        <w:adjustRightInd/>
        <w:snapToGrid w:val="0"/>
        <w:spacing w:line="360" w:lineRule="auto"/>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pacing w:val="0"/>
          <w:sz w:val="24"/>
          <w:szCs w:val="24"/>
          <w:highlight w:val="none"/>
        </w:rPr>
        <w:t>8.2</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val="0"/>
          <w:color w:val="auto"/>
          <w:sz w:val="24"/>
          <w:szCs w:val="24"/>
          <w:highlight w:val="none"/>
        </w:rPr>
        <w:t>本次招标项目招标控制价为人民币(大写)：</w:t>
      </w:r>
      <w:r>
        <w:rPr>
          <w:rFonts w:hint="eastAsia" w:ascii="宋体" w:hAnsi="宋体" w:eastAsia="宋体" w:cs="宋体"/>
          <w:b/>
          <w:bCs w:val="0"/>
          <w:color w:val="auto"/>
          <w:sz w:val="24"/>
          <w:szCs w:val="24"/>
          <w:highlight w:val="none"/>
          <w:lang w:val="en-US" w:eastAsia="zh-CN"/>
        </w:rPr>
        <w:t>陆佰零陆万柒仟壹佰零捌元叁角玖分</w:t>
      </w:r>
      <w:r>
        <w:rPr>
          <w:rFonts w:hint="eastAsia" w:ascii="宋体" w:hAnsi="宋体" w:eastAsia="宋体" w:cs="宋体"/>
          <w:b/>
          <w:bCs w:val="0"/>
          <w:color w:val="auto"/>
          <w:sz w:val="24"/>
          <w:szCs w:val="24"/>
          <w:highlight w:val="none"/>
        </w:rPr>
        <w:t>（¥6067108.39元）。其中：暂列金¥496025.66</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val="en-US" w:eastAsia="zh-CN"/>
        </w:rPr>
        <w:t>统一报价</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rPr>
        <w:t>，安全生产措施费（不得低于）¥51955.09元。</w:t>
      </w:r>
    </w:p>
    <w:p w14:paraId="4B7C1945">
      <w:pPr>
        <w:keepNext w:val="0"/>
        <w:keepLines w:val="0"/>
        <w:pageBreakBefore w:val="0"/>
        <w:kinsoku/>
        <w:wordWrap w:val="0"/>
        <w:overflowPunct/>
        <w:topLinePunct/>
        <w:bidi w:val="0"/>
        <w:snapToGrid w:val="0"/>
        <w:spacing w:line="360"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3</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4130BFE7">
      <w:pPr>
        <w:keepNext w:val="0"/>
        <w:keepLines w:val="0"/>
        <w:pageBreakBefore w:val="0"/>
        <w:kinsoku/>
        <w:wordWrap w:val="0"/>
        <w:overflowPunct/>
        <w:topLinePunct/>
        <w:bidi w:val="0"/>
        <w:snapToGrid w:val="0"/>
        <w:spacing w:line="360" w:lineRule="auto"/>
        <w:ind w:left="10" w:right="200" w:firstLine="4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本招标项目以暂估价形式列入招标工程量清单中的材料、工程设备、专业工程（以下统称“暂估价项目”）包括：</w:t>
      </w:r>
      <w:r>
        <w:rPr>
          <w:rFonts w:hint="eastAsia" w:ascii="宋体" w:hAnsi="宋体" w:eastAsia="宋体" w:cs="宋体"/>
          <w:color w:val="auto"/>
          <w:spacing w:val="0"/>
          <w:sz w:val="24"/>
          <w:szCs w:val="24"/>
          <w:highlight w:val="none"/>
          <w:u w:val="single"/>
          <w:lang w:val="en-US" w:eastAsia="zh-CN"/>
        </w:rPr>
        <w:t>暂估价</w:t>
      </w:r>
      <w:r>
        <w:rPr>
          <w:rFonts w:hint="eastAsia" w:ascii="宋体" w:hAnsi="宋体" w:eastAsia="宋体" w:cs="宋体"/>
          <w:color w:val="auto"/>
          <w:spacing w:val="0"/>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335A7143">
      <w:pPr>
        <w:keepNext w:val="0"/>
        <w:keepLines w:val="0"/>
        <w:pageBreakBefore w:val="0"/>
        <w:kinsoku/>
        <w:wordWrap w:val="0"/>
        <w:overflowPunct/>
        <w:topLinePunct/>
        <w:bidi w:val="0"/>
        <w:snapToGrid w:val="0"/>
        <w:spacing w:line="360" w:lineRule="auto"/>
        <w:ind w:left="12" w:right="200"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当暂估价项目的内容、标准、要求在项目实施过程中得以深化、明确、固定后，按以下原则发包：</w:t>
      </w:r>
    </w:p>
    <w:p w14:paraId="6981B498">
      <w:pPr>
        <w:keepNext w:val="0"/>
        <w:keepLines w:val="0"/>
        <w:pageBreakBefore w:val="0"/>
        <w:kinsoku/>
        <w:wordWrap w:val="0"/>
        <w:overflowPunct/>
        <w:topLinePunct/>
        <w:bidi w:val="0"/>
        <w:snapToGrid w:val="0"/>
        <w:spacing w:line="360" w:lineRule="auto"/>
        <w:ind w:left="-3" w:leftChars="0"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（1）暂估价项目按工程、货物（指材料或工程设备，下同）的类别分类汇总的金额，达到必须招标规模标准的，由</w:t>
      </w:r>
      <w:r>
        <w:rPr>
          <w:rFonts w:hint="eastAsia" w:ascii="宋体" w:hAnsi="宋体" w:eastAsia="宋体" w:cs="宋体"/>
          <w:bCs/>
          <w:color w:val="auto"/>
          <w:spacing w:val="0"/>
          <w:sz w:val="24"/>
          <w:szCs w:val="24"/>
          <w:highlight w:val="none"/>
          <w:u w:val="single"/>
        </w:rPr>
        <w:t>中标人招标，招标人参与管理</w:t>
      </w:r>
      <w:r>
        <w:rPr>
          <w:rFonts w:hint="eastAsia" w:ascii="宋体" w:hAnsi="宋体" w:eastAsia="宋体" w:cs="宋体"/>
          <w:bCs/>
          <w:color w:val="auto"/>
          <w:spacing w:val="0"/>
          <w:sz w:val="24"/>
          <w:szCs w:val="24"/>
          <w:highlight w:val="none"/>
        </w:rPr>
        <w:t>，</w:t>
      </w:r>
      <w:r>
        <w:rPr>
          <w:rFonts w:hint="eastAsia" w:ascii="宋体" w:hAnsi="宋体" w:eastAsia="宋体" w:cs="宋体"/>
          <w:color w:val="auto"/>
          <w:spacing w:val="0"/>
          <w:sz w:val="24"/>
          <w:szCs w:val="24"/>
          <w:highlight w:val="none"/>
        </w:rPr>
        <w:t>确定专业工程承包人（或材料、工程 设备供应商）和合同价格。</w:t>
      </w:r>
    </w:p>
    <w:p w14:paraId="6883DF8C">
      <w:pPr>
        <w:keepNext w:val="0"/>
        <w:keepLines w:val="0"/>
        <w:pageBreakBefore w:val="0"/>
        <w:kinsoku/>
        <w:wordWrap w:val="0"/>
        <w:overflowPunct/>
        <w:topLinePunct/>
        <w:bidi w:val="0"/>
        <w:snapToGrid w:val="0"/>
        <w:spacing w:line="360"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12580F5E">
      <w:pPr>
        <w:keepNext w:val="0"/>
        <w:keepLines w:val="0"/>
        <w:pageBreakBefore w:val="0"/>
        <w:kinsoku/>
        <w:wordWrap w:val="0"/>
        <w:overflowPunct/>
        <w:topLinePunct/>
        <w:bidi w:val="0"/>
        <w:snapToGrid w:val="0"/>
        <w:spacing w:line="360"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7F209B5D">
      <w:pPr>
        <w:keepNext w:val="0"/>
        <w:keepLines w:val="0"/>
        <w:pageBreakBefore w:val="0"/>
        <w:kinsoku/>
        <w:wordWrap w:val="0"/>
        <w:overflowPunct/>
        <w:topLinePunct/>
        <w:bidi w:val="0"/>
        <w:snapToGrid w:val="0"/>
        <w:spacing w:line="360"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28CC5280">
      <w:pPr>
        <w:keepNext w:val="0"/>
        <w:keepLines w:val="0"/>
        <w:pageBreakBefore w:val="0"/>
        <w:kinsoku/>
        <w:wordWrap w:val="0"/>
        <w:overflowPunct/>
        <w:topLinePunct/>
        <w:bidi w:val="0"/>
        <w:snapToGrid w:val="0"/>
        <w:spacing w:line="360" w:lineRule="auto"/>
        <w:ind w:left="9" w:right="6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（5）暂估价项目由其他承包人承包的，纳入中标人的管理和协调范围，由其他承包人向中标人承担质量、安全、文明施工、工期责任，中标人向招标人承担责任。</w:t>
      </w:r>
    </w:p>
    <w:p w14:paraId="13670B89">
      <w:pPr>
        <w:keepNext w:val="0"/>
        <w:keepLines w:val="0"/>
        <w:pageBreakBefore w:val="0"/>
        <w:kinsoku/>
        <w:wordWrap w:val="0"/>
        <w:overflowPunct/>
        <w:topLinePunct/>
        <w:bidi w:val="0"/>
        <w:snapToGrid w:val="0"/>
        <w:spacing w:line="360" w:lineRule="auto"/>
        <w:ind w:left="10" w:right="65" w:firstLine="478"/>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本招标项目以暂列金额形式列入招标工程量清单中的所需货物和服务的采购（以下统称“暂列金额项目”）若有发生，按照本节第 </w:t>
      </w:r>
      <w:r>
        <w:rPr>
          <w:rFonts w:hint="eastAsia" w:ascii="宋体" w:hAnsi="宋体" w:eastAsia="宋体" w:cs="宋体"/>
          <w:b/>
          <w:bCs/>
          <w:color w:val="auto"/>
          <w:spacing w:val="0"/>
          <w:sz w:val="24"/>
          <w:szCs w:val="24"/>
          <w:highlight w:val="none"/>
        </w:rPr>
        <w:t xml:space="preserve">8.5 </w:t>
      </w:r>
      <w:r>
        <w:rPr>
          <w:rFonts w:hint="eastAsia" w:ascii="宋体" w:hAnsi="宋体" w:eastAsia="宋体" w:cs="宋体"/>
          <w:color w:val="auto"/>
          <w:spacing w:val="0"/>
          <w:sz w:val="24"/>
          <w:szCs w:val="24"/>
          <w:highlight w:val="none"/>
        </w:rPr>
        <w:t>条的规定确定货物（或服务）供应商和合同价格。暂列金额项目由其他承包人承包的，纳入中标人的管理和协调范围</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由其他承包人向中标人承担质量、安全、文明施工、工期责任，中标人向招标人承担责任。</w:t>
      </w:r>
    </w:p>
    <w:p w14:paraId="1863A748">
      <w:pPr>
        <w:keepNext w:val="0"/>
        <w:keepLines w:val="0"/>
        <w:pageBreakBefore w:val="0"/>
        <w:kinsoku/>
        <w:wordWrap w:val="0"/>
        <w:overflowPunct/>
        <w:topLinePunct/>
        <w:bidi w:val="0"/>
        <w:snapToGrid w:val="0"/>
        <w:spacing w:line="360" w:lineRule="auto"/>
        <w:ind w:left="487"/>
        <w:outlineLvl w:val="4"/>
        <w:rPr>
          <w:rFonts w:hint="eastAsia" w:ascii="宋体" w:hAnsi="宋体" w:eastAsia="宋体" w:cs="宋体"/>
          <w:b/>
          <w:bCs/>
          <w:color w:val="auto"/>
          <w:spacing w:val="0"/>
          <w:sz w:val="24"/>
          <w:szCs w:val="24"/>
          <w:highlight w:val="none"/>
        </w:rPr>
      </w:pPr>
      <w:bookmarkStart w:id="35" w:name="_Toc22978"/>
    </w:p>
    <w:p w14:paraId="444FA1CA">
      <w:pPr>
        <w:keepNext w:val="0"/>
        <w:keepLines w:val="0"/>
        <w:pageBreakBefore w:val="0"/>
        <w:kinsoku/>
        <w:wordWrap w:val="0"/>
        <w:overflowPunct/>
        <w:topLinePunct/>
        <w:bidi w:val="0"/>
        <w:snapToGrid w:val="0"/>
        <w:spacing w:line="360" w:lineRule="auto"/>
        <w:ind w:left="487"/>
        <w:outlineLvl w:val="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9 ．投标报价</w:t>
      </w:r>
      <w:bookmarkEnd w:id="35"/>
    </w:p>
    <w:p w14:paraId="65B0929B">
      <w:pPr>
        <w:keepNext w:val="0"/>
        <w:keepLines w:val="0"/>
        <w:pageBreakBefore w:val="0"/>
        <w:kinsoku/>
        <w:wordWrap w:val="0"/>
        <w:overflowPunct/>
        <w:topLinePunct/>
        <w:bidi w:val="0"/>
        <w:snapToGrid w:val="0"/>
        <w:spacing w:line="36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9.1  </w:t>
      </w:r>
      <w:r>
        <w:rPr>
          <w:rFonts w:hint="eastAsia" w:ascii="宋体" w:hAnsi="宋体" w:eastAsia="宋体" w:cs="宋体"/>
          <w:color w:val="auto"/>
          <w:spacing w:val="0"/>
          <w:sz w:val="24"/>
          <w:szCs w:val="24"/>
          <w:highlight w:val="none"/>
        </w:rPr>
        <w:t>投标人应按照以下依据编制投标报价：</w:t>
      </w:r>
    </w:p>
    <w:p w14:paraId="030EAC48">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rPr>
        <w:t>（2）《房屋建筑与装饰工程工程量计算规范》（GB/T50854-2024）；</w:t>
      </w:r>
    </w:p>
    <w:p w14:paraId="03704CE6">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（3）《通用安装工程工程量清单计价规范》（GB/T50856-2024）；</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）《市政工程工程量计算规范》(GB/T50857-2024）；</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5</w:t>
      </w:r>
      <w:r>
        <w:rPr>
          <w:rFonts w:hint="eastAsia" w:ascii="宋体" w:hAnsi="宋体" w:eastAsia="宋体" w:cs="宋体"/>
          <w:color w:val="auto"/>
          <w:spacing w:val="0"/>
          <w:sz w:val="24"/>
          <w:szCs w:val="24"/>
          <w:highlight w:val="none"/>
        </w:rPr>
        <w:t>）《广东省建设工程计价依据（2018）》和《关于调整〈广东省建设工程计价依据2018〉计价规则的通知》（粤标定函〔2025〕22号）。具体包括：《广东省房屋建筑与装饰工程综合定额（2018）》《广东省市政工程综合定额（2018）》《广东省通用安装工程综合定额（2018）》等；</w:t>
      </w:r>
    </w:p>
    <w:p w14:paraId="53CE85A8">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bookmarkStart w:id="36" w:name="bookmark120"/>
      <w:bookmarkEnd w:id="36"/>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）企业定额；</w:t>
      </w:r>
    </w:p>
    <w:p w14:paraId="68AA08D2">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7</w:t>
      </w:r>
      <w:r>
        <w:rPr>
          <w:rFonts w:hint="eastAsia" w:ascii="宋体" w:hAnsi="宋体" w:eastAsia="宋体" w:cs="宋体"/>
          <w:color w:val="auto"/>
          <w:spacing w:val="0"/>
          <w:sz w:val="24"/>
          <w:szCs w:val="24"/>
          <w:highlight w:val="none"/>
        </w:rPr>
        <w:t>）招标文件及其答疑（或修改）公告、招标工程量清单；</w:t>
      </w:r>
    </w:p>
    <w:p w14:paraId="7A51489B">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）施工图及相关资料；</w:t>
      </w:r>
    </w:p>
    <w:p w14:paraId="52E6DD7D">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9</w:t>
      </w:r>
      <w:r>
        <w:rPr>
          <w:rFonts w:hint="eastAsia" w:ascii="宋体" w:hAnsi="宋体" w:eastAsia="宋体" w:cs="宋体"/>
          <w:color w:val="auto"/>
          <w:spacing w:val="0"/>
          <w:sz w:val="24"/>
          <w:szCs w:val="24"/>
          <w:highlight w:val="none"/>
        </w:rPr>
        <w:t>）施工现场情况、工程特点及投标时拟定的施工组织设计或施工方案；</w:t>
      </w:r>
    </w:p>
    <w:p w14:paraId="781E705C">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10</w:t>
      </w:r>
      <w:r>
        <w:rPr>
          <w:rFonts w:hint="eastAsia" w:ascii="宋体" w:hAnsi="宋体" w:eastAsia="宋体" w:cs="宋体"/>
          <w:color w:val="auto"/>
          <w:spacing w:val="0"/>
          <w:sz w:val="24"/>
          <w:szCs w:val="24"/>
          <w:highlight w:val="none"/>
        </w:rPr>
        <w:t>）市场价格信息或项目所在地工程造价管理机构发布的工程造价信息；</w:t>
      </w:r>
    </w:p>
    <w:p w14:paraId="7E1EFA2F">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11</w:t>
      </w:r>
      <w:r>
        <w:rPr>
          <w:rFonts w:hint="eastAsia" w:ascii="宋体" w:hAnsi="宋体" w:eastAsia="宋体" w:cs="宋体"/>
          <w:color w:val="auto"/>
          <w:spacing w:val="0"/>
          <w:sz w:val="24"/>
          <w:szCs w:val="24"/>
          <w:highlight w:val="none"/>
        </w:rPr>
        <w:t>）与建设项目相关的标准、规范、技术资料。</w:t>
      </w:r>
    </w:p>
    <w:p w14:paraId="1763841E">
      <w:pPr>
        <w:keepNext w:val="0"/>
        <w:keepLines w:val="0"/>
        <w:pageBreakBefore w:val="0"/>
        <w:kinsoku/>
        <w:wordWrap w:val="0"/>
        <w:overflowPunct/>
        <w:topLinePunct/>
        <w:bidi w:val="0"/>
        <w:snapToGrid w:val="0"/>
        <w:spacing w:line="360" w:lineRule="auto"/>
        <w:ind w:left="8" w:right="150"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9.2  </w:t>
      </w:r>
      <w:r>
        <w:rPr>
          <w:rFonts w:hint="eastAsia" w:ascii="宋体" w:hAnsi="宋体" w:eastAsia="宋体" w:cs="宋体"/>
          <w:color w:val="auto"/>
          <w:spacing w:val="0"/>
          <w:sz w:val="24"/>
          <w:szCs w:val="24"/>
          <w:highlight w:val="none"/>
        </w:rPr>
        <w:t>投标人应根据招标工程量清单、工程量清单计价</w:t>
      </w:r>
      <w:r>
        <w:rPr>
          <w:rFonts w:hint="eastAsia" w:ascii="宋体" w:hAnsi="宋体" w:eastAsia="宋体" w:cs="宋体"/>
          <w:color w:val="auto"/>
          <w:spacing w:val="0"/>
          <w:sz w:val="24"/>
          <w:szCs w:val="24"/>
          <w:highlight w:val="none"/>
          <w:lang w:val="en-US" w:eastAsia="zh-CN"/>
        </w:rPr>
        <w:t>标准</w:t>
      </w:r>
      <w:r>
        <w:rPr>
          <w:rFonts w:hint="eastAsia" w:ascii="宋体" w:hAnsi="宋体" w:eastAsia="宋体" w:cs="宋体"/>
          <w:color w:val="auto"/>
          <w:spacing w:val="0"/>
          <w:sz w:val="24"/>
          <w:szCs w:val="24"/>
          <w:highlight w:val="none"/>
        </w:rPr>
        <w:t>中的工作内容、设计文件和有关要求、施工现场实际情况、投标人拟定的施工组织设计、本单位的企业定额和市场价格进行编制，自行报价，并承担一定范围内的风险费用。所谓“一定范围内的风险 ”是指合同约定的风险。</w:t>
      </w:r>
    </w:p>
    <w:p w14:paraId="20401DC8">
      <w:pPr>
        <w:keepNext w:val="0"/>
        <w:keepLines w:val="0"/>
        <w:pageBreakBefore w:val="0"/>
        <w:kinsoku/>
        <w:wordWrap w:val="0"/>
        <w:overflowPunct/>
        <w:topLinePunct/>
        <w:bidi w:val="0"/>
        <w:snapToGrid w:val="0"/>
        <w:spacing w:line="360"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9.3  </w:t>
      </w:r>
      <w:r>
        <w:rPr>
          <w:rFonts w:hint="eastAsia" w:ascii="宋体" w:hAnsi="宋体" w:eastAsia="宋体" w:cs="宋体"/>
          <w:color w:val="auto"/>
          <w:spacing w:val="0"/>
          <w:sz w:val="24"/>
          <w:szCs w:val="24"/>
          <w:highlight w:val="none"/>
        </w:rPr>
        <w:t>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42A9A6B2">
      <w:pPr>
        <w:keepNext w:val="0"/>
        <w:keepLines w:val="0"/>
        <w:pageBreakBefore w:val="0"/>
        <w:kinsoku/>
        <w:wordWrap w:val="0"/>
        <w:overflowPunct/>
        <w:topLinePunct/>
        <w:bidi w:val="0"/>
        <w:snapToGrid w:val="0"/>
        <w:spacing w:line="360" w:lineRule="auto"/>
        <w:ind w:left="10" w:right="150"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9.4  </w:t>
      </w:r>
      <w:r>
        <w:rPr>
          <w:rFonts w:hint="eastAsia" w:ascii="宋体" w:hAnsi="宋体" w:eastAsia="宋体" w:cs="宋体"/>
          <w:color w:val="auto"/>
          <w:spacing w:val="0"/>
          <w:sz w:val="24"/>
          <w:szCs w:val="24"/>
          <w:highlight w:val="none"/>
        </w:rPr>
        <w:t>招标人向投标人提供的有关现场的数据和资料，是招标人现有的能被投标人利用的资料，招标人对投标人做出的任何推论、理解和结论均不负责任。</w:t>
      </w:r>
    </w:p>
    <w:p w14:paraId="41002C74">
      <w:pPr>
        <w:keepNext w:val="0"/>
        <w:keepLines w:val="0"/>
        <w:pageBreakBefore w:val="0"/>
        <w:kinsoku/>
        <w:wordWrap w:val="0"/>
        <w:overflowPunct/>
        <w:topLinePunct/>
        <w:bidi w:val="0"/>
        <w:snapToGrid w:val="0"/>
        <w:spacing w:line="360" w:lineRule="auto"/>
        <w:ind w:left="12" w:firstLine="55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9.5  </w:t>
      </w:r>
      <w:r>
        <w:rPr>
          <w:rFonts w:hint="eastAsia" w:ascii="宋体" w:hAnsi="宋体" w:eastAsia="宋体" w:cs="宋体"/>
          <w:color w:val="auto"/>
          <w:spacing w:val="0"/>
          <w:sz w:val="24"/>
          <w:szCs w:val="24"/>
          <w:highlight w:val="none"/>
        </w:rPr>
        <w:t>投标人必须按照招标工程量清单及表格填报价格。项目编码、项目名称、项目特征、计量单位、工程量必须与招标工程量清单一致。所有报价均以人民币“元”为单位，并保留小数点后两位。</w:t>
      </w:r>
    </w:p>
    <w:p w14:paraId="2110373C">
      <w:pPr>
        <w:keepNext w:val="0"/>
        <w:keepLines w:val="0"/>
        <w:pageBreakBefore w:val="0"/>
        <w:kinsoku/>
        <w:wordWrap w:val="0"/>
        <w:overflowPunct/>
        <w:topLinePunct/>
        <w:bidi w:val="0"/>
        <w:snapToGrid w:val="0"/>
        <w:spacing w:line="360"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9.6  </w:t>
      </w:r>
      <w:r>
        <w:rPr>
          <w:rFonts w:hint="eastAsia" w:ascii="宋体" w:hAnsi="宋体" w:eastAsia="宋体" w:cs="宋体"/>
          <w:color w:val="auto"/>
          <w:spacing w:val="0"/>
          <w:sz w:val="24"/>
          <w:szCs w:val="24"/>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7B94828D">
      <w:pPr>
        <w:keepNext w:val="0"/>
        <w:keepLines w:val="0"/>
        <w:pageBreakBefore w:val="0"/>
        <w:kinsoku/>
        <w:wordWrap w:val="0"/>
        <w:overflowPunct/>
        <w:topLinePunct/>
        <w:bidi w:val="0"/>
        <w:snapToGrid w:val="0"/>
        <w:spacing w:line="360" w:lineRule="auto"/>
        <w:ind w:left="7" w:right="120" w:firstLine="480"/>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 xml:space="preserve">9.7  </w:t>
      </w:r>
      <w:r>
        <w:rPr>
          <w:rFonts w:hint="eastAsia" w:ascii="宋体" w:hAnsi="宋体" w:eastAsia="宋体" w:cs="宋体"/>
          <w:color w:val="auto"/>
          <w:spacing w:val="0"/>
          <w:sz w:val="24"/>
          <w:szCs w:val="24"/>
          <w:highlight w:val="none"/>
        </w:rPr>
        <w:t>投标人的投标总价不得高于</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，也不得低于工程成本。投标人对投标总价的所有优惠（降价、让利等），均应当反映在具体清单项目或其综合单价的报价上。</w:t>
      </w:r>
      <w:r>
        <w:rPr>
          <w:rFonts w:hint="eastAsia" w:ascii="宋体" w:hAnsi="宋体" w:eastAsia="宋体" w:cs="宋体"/>
          <w:b/>
          <w:bCs/>
          <w:color w:val="auto"/>
          <w:spacing w:val="0"/>
          <w:sz w:val="24"/>
          <w:szCs w:val="24"/>
          <w:highlight w:val="none"/>
        </w:rPr>
        <w:t>如果投标人的投标总价下浮率高于15%时，投标人必须在投标文件中专项作出详细合理的书面说明并提供以往类似工程详细成本分析报告供评标委员会审查。</w:t>
      </w:r>
      <w:r>
        <w:rPr>
          <w:rFonts w:hint="eastAsia" w:ascii="宋体" w:hAnsi="宋体" w:eastAsia="宋体" w:cs="宋体"/>
          <w:b/>
          <w:bCs/>
          <w:color w:val="auto"/>
          <w:spacing w:val="0"/>
          <w:sz w:val="24"/>
          <w:szCs w:val="24"/>
          <w:highlight w:val="none"/>
          <w:lang w:eastAsia="zh-CN"/>
        </w:rPr>
        <w:t>投标总价下浮率=（1-投标总价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100%</w:t>
      </w:r>
    </w:p>
    <w:p w14:paraId="11E6164F">
      <w:pPr>
        <w:keepNext w:val="0"/>
        <w:keepLines w:val="0"/>
        <w:pageBreakBefore w:val="0"/>
        <w:kinsoku/>
        <w:wordWrap w:val="0"/>
        <w:overflowPunct/>
        <w:topLinePunct/>
        <w:bidi w:val="0"/>
        <w:snapToGrid w:val="0"/>
        <w:spacing w:line="360" w:lineRule="auto"/>
        <w:ind w:left="29" w:right="153" w:firstLine="4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9.8  </w:t>
      </w:r>
      <w:r>
        <w:rPr>
          <w:rFonts w:hint="eastAsia" w:ascii="宋体" w:hAnsi="宋体" w:eastAsia="宋体" w:cs="宋体"/>
          <w:color w:val="auto"/>
          <w:spacing w:val="0"/>
          <w:sz w:val="24"/>
          <w:szCs w:val="24"/>
          <w:highlight w:val="none"/>
        </w:rPr>
        <w:t>投标人的</w:t>
      </w:r>
      <w:r>
        <w:rPr>
          <w:rFonts w:hint="eastAsia" w:ascii="宋体" w:hAnsi="宋体" w:eastAsia="宋体" w:cs="宋体"/>
          <w:color w:val="auto"/>
          <w:spacing w:val="0"/>
          <w:sz w:val="24"/>
          <w:szCs w:val="24"/>
          <w:highlight w:val="none"/>
          <w:lang w:val="en-US" w:eastAsia="zh-CN"/>
        </w:rPr>
        <w:t>安全生产</w:t>
      </w:r>
      <w:r>
        <w:rPr>
          <w:rFonts w:hint="eastAsia" w:ascii="宋体" w:hAnsi="宋体" w:eastAsia="宋体" w:cs="宋体"/>
          <w:color w:val="auto"/>
          <w:spacing w:val="0"/>
          <w:sz w:val="24"/>
          <w:szCs w:val="24"/>
          <w:highlight w:val="none"/>
        </w:rPr>
        <w:t>措施费报价必须达到或超过最高投标限价中提供的</w:t>
      </w:r>
      <w:r>
        <w:rPr>
          <w:rFonts w:hint="eastAsia" w:ascii="宋体" w:hAnsi="宋体" w:eastAsia="宋体" w:cs="宋体"/>
          <w:color w:val="auto"/>
          <w:spacing w:val="0"/>
          <w:sz w:val="24"/>
          <w:szCs w:val="24"/>
          <w:highlight w:val="none"/>
          <w:lang w:val="en-US" w:eastAsia="zh-CN"/>
        </w:rPr>
        <w:t>安全生产</w:t>
      </w:r>
      <w:r>
        <w:rPr>
          <w:rFonts w:hint="eastAsia" w:ascii="宋体" w:hAnsi="宋体" w:eastAsia="宋体" w:cs="宋体"/>
          <w:color w:val="auto"/>
          <w:spacing w:val="0"/>
          <w:sz w:val="24"/>
          <w:szCs w:val="24"/>
          <w:highlight w:val="none"/>
        </w:rPr>
        <w:t>措施费。</w:t>
      </w:r>
    </w:p>
    <w:p w14:paraId="4D9E3A88">
      <w:pPr>
        <w:keepNext w:val="0"/>
        <w:keepLines w:val="0"/>
        <w:pageBreakBefore w:val="0"/>
        <w:kinsoku/>
        <w:wordWrap w:val="0"/>
        <w:overflowPunct/>
        <w:topLinePunct/>
        <w:bidi w:val="0"/>
        <w:snapToGrid w:val="0"/>
        <w:spacing w:line="360" w:lineRule="auto"/>
        <w:ind w:right="99"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9.9  </w:t>
      </w:r>
      <w:r>
        <w:rPr>
          <w:rFonts w:hint="eastAsia" w:ascii="宋体" w:hAnsi="宋体" w:eastAsia="宋体" w:cs="宋体"/>
          <w:color w:val="auto"/>
          <w:spacing w:val="0"/>
          <w:sz w:val="24"/>
          <w:szCs w:val="24"/>
          <w:highlight w:val="none"/>
        </w:rPr>
        <w:t>投标人必须按照招标工程量清单中提供的暂列金额和暂估价</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如有</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5CB36765">
      <w:pPr>
        <w:pStyle w:val="6"/>
        <w:keepNext w:val="0"/>
        <w:keepLines w:val="0"/>
        <w:pageBreakBefore w:val="0"/>
        <w:widowControl/>
        <w:kinsoku/>
        <w:wordWrap w:val="0"/>
        <w:overflowPunct/>
        <w:topLinePunct/>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auto"/>
          <w:spacing w:val="0"/>
          <w:sz w:val="24"/>
          <w:szCs w:val="24"/>
          <w:highlight w:val="none"/>
          <w:lang w:val="en-US" w:eastAsia="en-US" w:bidi="ar-SA"/>
        </w:rPr>
      </w:pPr>
      <w:r>
        <w:rPr>
          <w:rFonts w:hint="eastAsia" w:ascii="宋体" w:hAnsi="宋体" w:eastAsia="宋体" w:cs="宋体"/>
          <w:b/>
          <w:bCs/>
          <w:color w:val="auto"/>
          <w:spacing w:val="0"/>
          <w:sz w:val="24"/>
          <w:szCs w:val="24"/>
          <w:highlight w:val="none"/>
        </w:rPr>
        <w:t xml:space="preserve">9.10 </w:t>
      </w:r>
      <w:r>
        <w:rPr>
          <w:rFonts w:hint="eastAsia" w:ascii="宋体" w:hAnsi="宋体" w:eastAsia="宋体" w:cs="宋体"/>
          <w:snapToGrid w:val="0"/>
          <w:color w:val="auto"/>
          <w:spacing w:val="0"/>
          <w:sz w:val="24"/>
          <w:szCs w:val="24"/>
          <w:highlight w:val="none"/>
          <w:lang w:val="en-US" w:eastAsia="en-US" w:bidi="ar-SA"/>
        </w:rPr>
        <w:t>预算包干内容一般包括施工雨（污）水的排除、因地形影响造成的场内料具二次运输、20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投标报价时，应按《广东省建设工程计价依据（2018）》和《关于调整〈广东省建设工程计价依据2018〉计价规则的通知》（粤标定函〔2025〕22号）规定的费率报价，若招标工程量清单明确说明不计算预算包干费或另外确定预算包干费费率的，则按招标工程量清单报价。</w:t>
      </w:r>
    </w:p>
    <w:p w14:paraId="4A64F772">
      <w:pPr>
        <w:keepNext w:val="0"/>
        <w:keepLines w:val="0"/>
        <w:pageBreakBefore w:val="0"/>
        <w:kinsoku/>
        <w:wordWrap w:val="0"/>
        <w:overflowPunct/>
        <w:topLinePunct/>
        <w:bidi w:val="0"/>
        <w:snapToGrid w:val="0"/>
        <w:spacing w:line="360" w:lineRule="auto"/>
        <w:ind w:left="496"/>
        <w:outlineLvl w:val="4"/>
        <w:rPr>
          <w:rFonts w:hint="eastAsia" w:ascii="宋体" w:hAnsi="宋体" w:eastAsia="宋体" w:cs="宋体"/>
          <w:b/>
          <w:bCs/>
          <w:color w:val="auto"/>
          <w:spacing w:val="0"/>
          <w:sz w:val="24"/>
          <w:szCs w:val="24"/>
          <w:highlight w:val="none"/>
        </w:rPr>
      </w:pPr>
      <w:bookmarkStart w:id="37" w:name="_Toc16322"/>
    </w:p>
    <w:p w14:paraId="3B45C6CC">
      <w:pPr>
        <w:keepNext w:val="0"/>
        <w:keepLines w:val="0"/>
        <w:pageBreakBefore w:val="0"/>
        <w:kinsoku/>
        <w:wordWrap w:val="0"/>
        <w:overflowPunct/>
        <w:topLinePunct/>
        <w:bidi w:val="0"/>
        <w:snapToGrid w:val="0"/>
        <w:spacing w:line="360" w:lineRule="auto"/>
        <w:ind w:left="496"/>
        <w:outlineLvl w:val="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10 ．投标文件的编制要求</w:t>
      </w:r>
      <w:bookmarkEnd w:id="37"/>
    </w:p>
    <w:p w14:paraId="54823F56">
      <w:pPr>
        <w:keepNext w:val="0"/>
        <w:keepLines w:val="0"/>
        <w:pageBreakBefore w:val="0"/>
        <w:kinsoku/>
        <w:wordWrap w:val="0"/>
        <w:overflowPunct/>
        <w:topLinePunct/>
        <w:bidi w:val="0"/>
        <w:snapToGrid w:val="0"/>
        <w:spacing w:line="360" w:lineRule="auto"/>
        <w:ind w:left="496"/>
        <w:outlineLvl w:val="5"/>
        <w:rPr>
          <w:rFonts w:hint="eastAsia" w:ascii="宋体" w:hAnsi="宋体" w:eastAsia="宋体" w:cs="宋体"/>
          <w:color w:val="auto"/>
          <w:spacing w:val="0"/>
          <w:sz w:val="24"/>
          <w:szCs w:val="24"/>
          <w:highlight w:val="none"/>
        </w:rPr>
      </w:pPr>
      <w:bookmarkStart w:id="38" w:name="_Toc22937"/>
      <w:bookmarkStart w:id="39" w:name="_Toc20590"/>
      <w:r>
        <w:rPr>
          <w:rFonts w:hint="eastAsia" w:ascii="宋体" w:hAnsi="宋体" w:eastAsia="宋体" w:cs="宋体"/>
          <w:b/>
          <w:bCs/>
          <w:color w:val="auto"/>
          <w:spacing w:val="0"/>
          <w:sz w:val="24"/>
          <w:szCs w:val="24"/>
          <w:highlight w:val="none"/>
        </w:rPr>
        <w:t xml:space="preserve">10.1  </w:t>
      </w:r>
      <w:r>
        <w:rPr>
          <w:rFonts w:hint="eastAsia" w:ascii="宋体" w:hAnsi="宋体" w:eastAsia="宋体" w:cs="宋体"/>
          <w:color w:val="auto"/>
          <w:spacing w:val="0"/>
          <w:sz w:val="24"/>
          <w:szCs w:val="24"/>
          <w:highlight w:val="none"/>
        </w:rPr>
        <w:t>一般要求</w:t>
      </w:r>
      <w:bookmarkEnd w:id="38"/>
      <w:bookmarkEnd w:id="39"/>
    </w:p>
    <w:p w14:paraId="02AC5105">
      <w:pPr>
        <w:keepNext w:val="0"/>
        <w:keepLines w:val="0"/>
        <w:pageBreakBefore w:val="0"/>
        <w:kinsoku/>
        <w:wordWrap w:val="0"/>
        <w:overflowPunct/>
        <w:topLinePunct/>
        <w:bidi w:val="0"/>
        <w:snapToGrid w:val="0"/>
        <w:spacing w:line="360" w:lineRule="auto"/>
        <w:ind w:left="11" w:right="99"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投标文件应按第六章投标文件格式规定的内容，投标人提交的投标文件应当使用招标文件所提供的投标文件全部格式。</w:t>
      </w:r>
    </w:p>
    <w:p w14:paraId="3788A77D">
      <w:pPr>
        <w:keepNext w:val="0"/>
        <w:keepLines w:val="0"/>
        <w:pageBreakBefore w:val="0"/>
        <w:kinsoku/>
        <w:wordWrap w:val="0"/>
        <w:overflowPunct/>
        <w:topLinePunct/>
        <w:bidi w:val="0"/>
        <w:snapToGrid w:val="0"/>
        <w:spacing w:line="360" w:lineRule="auto"/>
        <w:ind w:left="11" w:right="99" w:firstLine="56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10.1.1  </w:t>
      </w:r>
      <w:r>
        <w:rPr>
          <w:rFonts w:hint="eastAsia" w:ascii="宋体" w:hAnsi="宋体" w:eastAsia="宋体" w:cs="宋体"/>
          <w:color w:val="auto"/>
          <w:spacing w:val="0"/>
          <w:sz w:val="24"/>
          <w:szCs w:val="24"/>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537AB255">
      <w:pPr>
        <w:keepNext w:val="0"/>
        <w:keepLines w:val="0"/>
        <w:pageBreakBefore w:val="0"/>
        <w:kinsoku/>
        <w:wordWrap w:val="0"/>
        <w:overflowPunct/>
        <w:topLinePunct/>
        <w:bidi w:val="0"/>
        <w:snapToGrid w:val="0"/>
        <w:spacing w:line="360" w:lineRule="auto"/>
        <w:ind w:left="8" w:firstLine="56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10.1.2  投标文件包括商务标书、经济标书、施工组织设计和定标文件四个分册，</w:t>
      </w:r>
      <w:r>
        <w:rPr>
          <w:rFonts w:hint="eastAsia" w:ascii="宋体" w:hAnsi="宋体" w:eastAsia="宋体" w:cs="宋体"/>
          <w:color w:val="auto"/>
          <w:spacing w:val="0"/>
          <w:sz w:val="24"/>
          <w:szCs w:val="24"/>
          <w:highlight w:val="none"/>
        </w:rPr>
        <w:t>投标文件全部采用电子文档，</w:t>
      </w:r>
      <w:r>
        <w:rPr>
          <w:rFonts w:hint="eastAsia" w:ascii="宋体" w:hAnsi="宋体" w:eastAsia="宋体" w:cs="宋体"/>
          <w:b/>
          <w:bCs/>
          <w:color w:val="auto"/>
          <w:spacing w:val="0"/>
          <w:sz w:val="24"/>
          <w:szCs w:val="24"/>
          <w:highlight w:val="none"/>
        </w:rPr>
        <w:t>投标文件所附证书证件均为原件扫描件，</w:t>
      </w:r>
      <w:r>
        <w:rPr>
          <w:rFonts w:hint="eastAsia" w:ascii="宋体" w:hAnsi="宋体" w:eastAsia="宋体" w:cs="宋体"/>
          <w:color w:val="auto"/>
          <w:spacing w:val="0"/>
          <w:sz w:val="24"/>
          <w:szCs w:val="24"/>
          <w:highlight w:val="none"/>
        </w:rPr>
        <w:t>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w:t>
      </w:r>
      <w:bookmarkStart w:id="40" w:name="OLE_LINK1"/>
      <w:r>
        <w:rPr>
          <w:rFonts w:hint="eastAsia" w:ascii="宋体" w:hAnsi="宋体" w:eastAsia="宋体" w:cs="宋体"/>
          <w:color w:val="auto"/>
          <w:spacing w:val="0"/>
          <w:sz w:val="24"/>
          <w:szCs w:val="24"/>
          <w:highlight w:val="none"/>
        </w:rPr>
        <w:t>https://ygp.gdzwfw.gov.cn/ggzy-portal/#/440200/index</w:t>
      </w:r>
      <w:bookmarkEnd w:id="40"/>
      <w:r>
        <w:rPr>
          <w:rFonts w:hint="eastAsia" w:ascii="宋体" w:hAnsi="宋体" w:eastAsia="宋体" w:cs="宋体"/>
          <w:color w:val="auto"/>
          <w:spacing w:val="0"/>
          <w:sz w:val="24"/>
          <w:szCs w:val="24"/>
          <w:highlight w:val="none"/>
        </w:rPr>
        <w:t>）查阅相应的服务指南。</w:t>
      </w:r>
    </w:p>
    <w:p w14:paraId="674227D6">
      <w:pPr>
        <w:keepNext w:val="0"/>
        <w:keepLines w:val="0"/>
        <w:pageBreakBefore w:val="0"/>
        <w:kinsoku/>
        <w:wordWrap w:val="0"/>
        <w:overflowPunct/>
        <w:topLinePunct/>
        <w:bidi w:val="0"/>
        <w:snapToGrid w:val="0"/>
        <w:spacing w:line="360" w:lineRule="auto"/>
        <w:ind w:left="5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10.1.3  </w:t>
      </w:r>
      <w:r>
        <w:rPr>
          <w:rFonts w:hint="eastAsia" w:ascii="宋体" w:hAnsi="宋体" w:eastAsia="宋体" w:cs="宋体"/>
          <w:color w:val="auto"/>
          <w:spacing w:val="0"/>
          <w:sz w:val="24"/>
          <w:szCs w:val="24"/>
          <w:highlight w:val="none"/>
        </w:rPr>
        <w:t>投标文件需按以下要求签字、盖章：</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rPr>
        <w:t>电子投标文件：</w:t>
      </w:r>
    </w:p>
    <w:p w14:paraId="43A8FE82">
      <w:pPr>
        <w:keepNext w:val="0"/>
        <w:keepLines w:val="0"/>
        <w:pageBreakBefore w:val="0"/>
        <w:kinsoku/>
        <w:wordWrap w:val="0"/>
        <w:overflowPunct/>
        <w:topLinePunct/>
        <w:bidi w:val="0"/>
        <w:snapToGrid w:val="0"/>
        <w:spacing w:line="360" w:lineRule="auto"/>
        <w:ind w:right="133"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"10.1.3.1"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10.1.3.1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投标文件封面、组成内容中凡注明“签字”处由要求的人员签字或电子签章；凡注明“签字或盖章 ”处由要求的人员签字或盖其私章（电子印章）；凡注明“签字并盖执业印章”处由要求的人员签字并盖其执业印章。</w:t>
      </w:r>
    </w:p>
    <w:p w14:paraId="59FB1BB2">
      <w:pPr>
        <w:keepNext w:val="0"/>
        <w:keepLines w:val="0"/>
        <w:pageBreakBefore w:val="0"/>
        <w:kinsoku/>
        <w:wordWrap w:val="0"/>
        <w:overflowPunct/>
        <w:topLinePunct/>
        <w:bidi w:val="0"/>
        <w:snapToGrid w:val="0"/>
        <w:spacing w:line="360" w:lineRule="auto"/>
        <w:ind w:left="13" w:right="133" w:firstLine="5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"10.1.3.2"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10.1.3.2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投标文件封套、封面、组成内容中凡要求录入投标人名称且注明“盖单位章”处盖单位法人公章（电子印章）。</w:t>
      </w:r>
    </w:p>
    <w:p w14:paraId="65419FD5">
      <w:pPr>
        <w:keepNext w:val="0"/>
        <w:keepLines w:val="0"/>
        <w:pageBreakBefore w:val="0"/>
        <w:kinsoku/>
        <w:wordWrap w:val="0"/>
        <w:overflowPunct/>
        <w:topLinePunct/>
        <w:bidi w:val="0"/>
        <w:snapToGrid w:val="0"/>
        <w:spacing w:line="360" w:lineRule="auto"/>
        <w:ind w:left="16" w:right="135"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"10.1.3.3"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10.1.3.3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投标文件的签字均为签字人本人亲笔署名或签章（电子印章），其余部分的</w:t>
      </w:r>
      <w:r>
        <w:rPr>
          <w:rFonts w:hint="eastAsia" w:ascii="宋体" w:hAnsi="宋体" w:eastAsia="宋体" w:cs="宋体"/>
          <w:color w:val="auto"/>
          <w:spacing w:val="0"/>
          <w:sz w:val="24"/>
          <w:szCs w:val="24"/>
          <w:highlight w:val="none"/>
          <w:lang w:val="en-US" w:eastAsia="zh-CN"/>
        </w:rPr>
        <w:t>彩色扫描件</w:t>
      </w:r>
      <w:r>
        <w:rPr>
          <w:rFonts w:hint="eastAsia" w:ascii="宋体" w:hAnsi="宋体" w:eastAsia="宋体" w:cs="宋体"/>
          <w:color w:val="auto"/>
          <w:spacing w:val="0"/>
          <w:sz w:val="24"/>
          <w:szCs w:val="24"/>
          <w:highlight w:val="none"/>
        </w:rPr>
        <w:t>无须另行签字、盖章。</w:t>
      </w:r>
    </w:p>
    <w:p w14:paraId="38C5F9C2">
      <w:pPr>
        <w:keepNext w:val="0"/>
        <w:keepLines w:val="0"/>
        <w:pageBreakBefore w:val="0"/>
        <w:kinsoku/>
        <w:wordWrap w:val="0"/>
        <w:overflowPunct/>
        <w:topLinePunct/>
        <w:bidi w:val="0"/>
        <w:snapToGrid w:val="0"/>
        <w:spacing w:line="360" w:lineRule="auto"/>
        <w:ind w:left="500"/>
        <w:outlineLvl w:val="5"/>
        <w:rPr>
          <w:rFonts w:hint="eastAsia" w:ascii="宋体" w:hAnsi="宋体" w:eastAsia="宋体" w:cs="宋体"/>
          <w:color w:val="auto"/>
          <w:spacing w:val="0"/>
          <w:sz w:val="24"/>
          <w:szCs w:val="24"/>
          <w:highlight w:val="none"/>
        </w:rPr>
      </w:pPr>
      <w:bookmarkStart w:id="41" w:name="_Toc20223"/>
      <w:bookmarkStart w:id="42" w:name="_Toc21271"/>
      <w:r>
        <w:rPr>
          <w:rFonts w:hint="eastAsia" w:ascii="宋体" w:hAnsi="宋体" w:eastAsia="宋体" w:cs="宋体"/>
          <w:b/>
          <w:bCs/>
          <w:color w:val="auto"/>
          <w:spacing w:val="0"/>
          <w:sz w:val="24"/>
          <w:szCs w:val="24"/>
          <w:highlight w:val="none"/>
        </w:rPr>
        <w:t xml:space="preserve">10.2  </w:t>
      </w:r>
      <w:r>
        <w:rPr>
          <w:rFonts w:hint="eastAsia" w:ascii="宋体" w:hAnsi="宋体" w:eastAsia="宋体" w:cs="宋体"/>
          <w:color w:val="auto"/>
          <w:spacing w:val="0"/>
          <w:sz w:val="24"/>
          <w:szCs w:val="24"/>
          <w:highlight w:val="none"/>
        </w:rPr>
        <w:t>商务标书的编制要求</w:t>
      </w:r>
      <w:bookmarkEnd w:id="41"/>
      <w:bookmarkEnd w:id="42"/>
    </w:p>
    <w:p w14:paraId="53D24E3E">
      <w:pPr>
        <w:keepNext w:val="0"/>
        <w:keepLines w:val="0"/>
        <w:pageBreakBefore w:val="0"/>
        <w:kinsoku/>
        <w:wordWrap w:val="0"/>
        <w:overflowPunct/>
        <w:topLinePunct/>
        <w:bidi w:val="0"/>
        <w:snapToGrid w:val="0"/>
        <w:spacing w:line="360" w:lineRule="auto"/>
        <w:ind w:left="58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商务标书包括但不限于以下内容：</w:t>
      </w:r>
    </w:p>
    <w:p w14:paraId="5EE14BF8">
      <w:pPr>
        <w:keepNext w:val="0"/>
        <w:keepLines w:val="0"/>
        <w:pageBreakBefore w:val="0"/>
        <w:kinsoku/>
        <w:wordWrap w:val="0"/>
        <w:overflowPunct/>
        <w:topLinePunct/>
        <w:bidi w:val="0"/>
        <w:snapToGrid w:val="0"/>
        <w:spacing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2BBAE1BD">
      <w:pPr>
        <w:keepNext w:val="0"/>
        <w:keepLines w:val="0"/>
        <w:pageBreakBefore w:val="0"/>
        <w:kinsoku/>
        <w:wordWrap w:val="0"/>
        <w:overflowPunct/>
        <w:topLinePunct/>
        <w:bidi w:val="0"/>
        <w:snapToGrid w:val="0"/>
        <w:spacing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3A72E7CF">
      <w:pPr>
        <w:keepNext w:val="0"/>
        <w:keepLines w:val="0"/>
        <w:pageBreakBefore w:val="0"/>
        <w:kinsoku/>
        <w:wordWrap w:val="0"/>
        <w:overflowPunct/>
        <w:topLinePunct/>
        <w:bidi w:val="0"/>
        <w:snapToGrid w:val="0"/>
        <w:spacing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（3）《投标函》（格式二）；</w:t>
      </w:r>
    </w:p>
    <w:p w14:paraId="5A47A782">
      <w:pPr>
        <w:keepNext w:val="0"/>
        <w:keepLines w:val="0"/>
        <w:pageBreakBefore w:val="0"/>
        <w:kinsoku/>
        <w:wordWrap w:val="0"/>
        <w:overflowPunct/>
        <w:topLinePunct/>
        <w:bidi w:val="0"/>
        <w:snapToGrid w:val="0"/>
        <w:spacing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（4）《各项承诺一览表》（格式三）；</w:t>
      </w:r>
    </w:p>
    <w:p w14:paraId="294805C0">
      <w:pPr>
        <w:keepNext w:val="0"/>
        <w:keepLines w:val="0"/>
        <w:pageBreakBefore w:val="0"/>
        <w:kinsoku/>
        <w:wordWrap w:val="0"/>
        <w:overflowPunct/>
        <w:topLinePunct/>
        <w:bidi w:val="0"/>
        <w:snapToGrid w:val="0"/>
        <w:spacing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（5）《授权委托书》（格式四）；</w:t>
      </w:r>
    </w:p>
    <w:p w14:paraId="51432E91">
      <w:pPr>
        <w:keepNext w:val="0"/>
        <w:keepLines w:val="0"/>
        <w:pageBreakBefore w:val="0"/>
        <w:kinsoku/>
        <w:wordWrap w:val="0"/>
        <w:overflowPunct/>
        <w:topLinePunct/>
        <w:bidi w:val="0"/>
        <w:snapToGrid w:val="0"/>
        <w:spacing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（6）《法定代表人身份证明》（格式五）；</w:t>
      </w:r>
    </w:p>
    <w:p w14:paraId="47C7F4DF">
      <w:pPr>
        <w:keepNext w:val="0"/>
        <w:keepLines w:val="0"/>
        <w:pageBreakBefore w:val="0"/>
        <w:kinsoku/>
        <w:wordWrap w:val="0"/>
        <w:overflowPunct/>
        <w:topLinePunct/>
        <w:bidi w:val="0"/>
        <w:snapToGrid w:val="0"/>
        <w:spacing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（7）《联合体协议书》</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如有</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（格式六）及所附资料；</w:t>
      </w:r>
    </w:p>
    <w:p w14:paraId="0AFDB2EB">
      <w:pPr>
        <w:keepNext w:val="0"/>
        <w:keepLines w:val="0"/>
        <w:pageBreakBefore w:val="0"/>
        <w:kinsoku/>
        <w:wordWrap w:val="0"/>
        <w:overflowPunct/>
        <w:topLinePunct/>
        <w:bidi w:val="0"/>
        <w:snapToGrid w:val="0"/>
        <w:spacing w:line="360" w:lineRule="auto"/>
        <w:ind w:left="13" w:right="133"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pacing w:val="0"/>
          <w:sz w:val="24"/>
          <w:szCs w:val="24"/>
          <w:highlight w:val="none"/>
        </w:rPr>
        <w:t>《韶关市公共资源交易一体化平台保证金缴纳信息》页面截图</w:t>
      </w:r>
      <w:r>
        <w:rPr>
          <w:rFonts w:hint="eastAsia" w:ascii="宋体" w:hAnsi="宋体" w:eastAsia="宋体" w:cs="宋体"/>
          <w:color w:val="auto"/>
          <w:spacing w:val="0"/>
          <w:sz w:val="24"/>
          <w:szCs w:val="24"/>
          <w:highlight w:val="none"/>
        </w:rPr>
        <w:t>）；</w:t>
      </w:r>
    </w:p>
    <w:p w14:paraId="5E03A06C">
      <w:pPr>
        <w:keepNext w:val="0"/>
        <w:keepLines w:val="0"/>
        <w:pageBreakBefore w:val="0"/>
        <w:kinsoku/>
        <w:wordWrap w:val="0"/>
        <w:overflowPunct/>
        <w:topLinePunct/>
        <w:bidi w:val="0"/>
        <w:snapToGrid w:val="0"/>
        <w:spacing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（9）《投标人基本情况表》（格式七）及所附资料；</w:t>
      </w:r>
    </w:p>
    <w:p w14:paraId="6182C255">
      <w:pPr>
        <w:keepNext w:val="0"/>
        <w:keepLines w:val="0"/>
        <w:pageBreakBefore w:val="0"/>
        <w:kinsoku/>
        <w:wordWrap w:val="0"/>
        <w:overflowPunct/>
        <w:topLinePunct/>
        <w:bidi w:val="0"/>
        <w:snapToGrid w:val="0"/>
        <w:spacing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（10）《项目经理简历表》（格式八）及所附资料；</w:t>
      </w:r>
    </w:p>
    <w:p w14:paraId="07A4775E">
      <w:pPr>
        <w:keepNext w:val="0"/>
        <w:keepLines w:val="0"/>
        <w:pageBreakBefore w:val="0"/>
        <w:kinsoku/>
        <w:wordWrap w:val="0"/>
        <w:overflowPunct/>
        <w:topLinePunct/>
        <w:bidi w:val="0"/>
        <w:snapToGrid w:val="0"/>
        <w:spacing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（11）《项目经理任职声明》（格式九）；</w:t>
      </w:r>
    </w:p>
    <w:p w14:paraId="21831DB4">
      <w:pPr>
        <w:keepNext w:val="0"/>
        <w:keepLines w:val="0"/>
        <w:pageBreakBefore w:val="0"/>
        <w:kinsoku/>
        <w:wordWrap w:val="0"/>
        <w:overflowPunct/>
        <w:topLinePunct/>
        <w:bidi w:val="0"/>
        <w:snapToGrid w:val="0"/>
        <w:spacing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（12）《项目技术负责人简历表》（格式十）及所附资料；</w:t>
      </w:r>
    </w:p>
    <w:p w14:paraId="4B46B2A0">
      <w:pPr>
        <w:keepNext w:val="0"/>
        <w:keepLines w:val="0"/>
        <w:pageBreakBefore w:val="0"/>
        <w:kinsoku/>
        <w:wordWrap w:val="0"/>
        <w:overflowPunct/>
        <w:topLinePunct/>
        <w:bidi w:val="0"/>
        <w:snapToGrid w:val="0"/>
        <w:spacing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（13）《项</w:t>
      </w:r>
      <w:bookmarkStart w:id="43" w:name="OLE_LINK7"/>
      <w:r>
        <w:rPr>
          <w:rFonts w:hint="eastAsia" w:ascii="宋体" w:hAnsi="宋体" w:eastAsia="宋体" w:cs="宋体"/>
          <w:color w:val="auto"/>
          <w:spacing w:val="0"/>
          <w:sz w:val="24"/>
          <w:szCs w:val="24"/>
          <w:highlight w:val="none"/>
        </w:rPr>
        <w:t>目管理机构组成表》（格式十一）及</w:t>
      </w:r>
      <w:bookmarkEnd w:id="43"/>
      <w:r>
        <w:rPr>
          <w:rFonts w:hint="eastAsia" w:ascii="宋体" w:hAnsi="宋体" w:eastAsia="宋体" w:cs="宋体"/>
          <w:color w:val="auto"/>
          <w:spacing w:val="0"/>
          <w:sz w:val="24"/>
          <w:szCs w:val="24"/>
          <w:highlight w:val="none"/>
        </w:rPr>
        <w:t>所附资料；</w:t>
      </w:r>
    </w:p>
    <w:p w14:paraId="45270B32">
      <w:pPr>
        <w:keepNext w:val="0"/>
        <w:keepLines w:val="0"/>
        <w:pageBreakBefore w:val="0"/>
        <w:kinsoku/>
        <w:wordWrap w:val="0"/>
        <w:overflowPunct/>
        <w:topLinePunct/>
        <w:bidi w:val="0"/>
        <w:snapToGrid w:val="0"/>
        <w:spacing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（14）本节第 </w:t>
      </w:r>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目“评标方法 ”要求提供的评审资料；</w:t>
      </w:r>
    </w:p>
    <w:p w14:paraId="3B50C0B3">
      <w:pPr>
        <w:keepNext w:val="0"/>
        <w:keepLines w:val="0"/>
        <w:pageBreakBefore w:val="0"/>
        <w:kinsoku/>
        <w:wordWrap w:val="0"/>
        <w:overflowPunct/>
        <w:topLinePunct/>
        <w:bidi w:val="0"/>
        <w:snapToGrid w:val="0"/>
        <w:spacing w:line="360" w:lineRule="auto"/>
        <w:ind w:left="8" w:right="61"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r>
        <w:rPr>
          <w:rFonts w:hint="eastAsia" w:ascii="宋体" w:hAnsi="宋体" w:eastAsia="宋体" w:cs="宋体"/>
          <w:color w:val="auto"/>
          <w:spacing w:val="0"/>
          <w:sz w:val="24"/>
          <w:szCs w:val="24"/>
          <w:highlight w:val="none"/>
          <w:lang w:eastAsia="zh-CN"/>
        </w:rPr>
        <w:t>；企业所在省、地级市住建部门或其授权的组织（机构）关于企业资质、人员资格有效期自动顺延或延期办理的相关文件等</w:t>
      </w:r>
      <w:r>
        <w:rPr>
          <w:rFonts w:hint="eastAsia" w:ascii="宋体" w:hAnsi="宋体" w:eastAsia="宋体" w:cs="宋体"/>
          <w:color w:val="auto"/>
          <w:spacing w:val="0"/>
          <w:sz w:val="24"/>
          <w:szCs w:val="24"/>
          <w:highlight w:val="none"/>
        </w:rPr>
        <w:t>）</w:t>
      </w:r>
    </w:p>
    <w:p w14:paraId="65B8CE76">
      <w:pPr>
        <w:keepNext w:val="0"/>
        <w:keepLines w:val="0"/>
        <w:pageBreakBefore w:val="0"/>
        <w:kinsoku/>
        <w:wordWrap w:val="0"/>
        <w:overflowPunct/>
        <w:topLinePunct/>
        <w:bidi w:val="0"/>
        <w:snapToGrid w:val="0"/>
        <w:spacing w:line="360" w:lineRule="auto"/>
        <w:ind w:left="9" w:right="61"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目中所列出的商务标书组成内容中，第（1）至第（13）项所有投标人均应提供，</w:t>
      </w:r>
      <w:r>
        <w:rPr>
          <w:rFonts w:hint="eastAsia" w:ascii="宋体" w:hAnsi="宋体" w:eastAsia="宋体" w:cs="宋体"/>
          <w:b/>
          <w:bCs/>
          <w:color w:val="auto"/>
          <w:spacing w:val="0"/>
          <w:sz w:val="24"/>
          <w:szCs w:val="24"/>
          <w:highlight w:val="none"/>
        </w:rPr>
        <w:t>但非联合体投标的，无需提供第（7）项内容。</w:t>
      </w:r>
    </w:p>
    <w:p w14:paraId="63F5F41C">
      <w:pPr>
        <w:keepNext w:val="0"/>
        <w:keepLines w:val="0"/>
        <w:pageBreakBefore w:val="0"/>
        <w:kinsoku/>
        <w:wordWrap w:val="0"/>
        <w:overflowPunct/>
        <w:topLinePunct/>
        <w:bidi w:val="0"/>
        <w:snapToGrid w:val="0"/>
        <w:spacing w:line="360" w:lineRule="auto"/>
        <w:ind w:right="6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10.2.3 </w:t>
      </w:r>
      <w:r>
        <w:rPr>
          <w:rFonts w:hint="eastAsia" w:ascii="宋体" w:hAnsi="宋体" w:eastAsia="宋体" w:cs="宋体"/>
          <w:color w:val="auto"/>
          <w:spacing w:val="0"/>
          <w:sz w:val="24"/>
          <w:szCs w:val="24"/>
          <w:highlight w:val="none"/>
        </w:rPr>
        <w:t>商务标书的组成内容按本节第 10.2.1 目规定的顺序整理、编排后，逐页（页码起始从封面开始）连续标记页码。</w:t>
      </w:r>
    </w:p>
    <w:p w14:paraId="392E9EA0">
      <w:pPr>
        <w:pStyle w:val="6"/>
        <w:keepNext w:val="0"/>
        <w:keepLines w:val="0"/>
        <w:pageBreakBefore w:val="0"/>
        <w:kinsoku/>
        <w:wordWrap w:val="0"/>
        <w:overflowPunct/>
        <w:topLinePunct/>
        <w:bidi w:val="0"/>
        <w:snapToGrid w:val="0"/>
        <w:spacing w:line="360" w:lineRule="auto"/>
        <w:rPr>
          <w:rFonts w:hint="eastAsia" w:ascii="宋体" w:hAnsi="宋体" w:eastAsia="宋体" w:cs="宋体"/>
          <w:color w:val="auto"/>
          <w:spacing w:val="0"/>
          <w:sz w:val="24"/>
          <w:szCs w:val="24"/>
          <w:highlight w:val="none"/>
        </w:rPr>
      </w:pPr>
    </w:p>
    <w:p w14:paraId="402F1BC3">
      <w:pPr>
        <w:keepNext w:val="0"/>
        <w:keepLines w:val="0"/>
        <w:pageBreakBefore w:val="0"/>
        <w:kinsoku/>
        <w:wordWrap w:val="0"/>
        <w:overflowPunct/>
        <w:topLinePunct/>
        <w:bidi w:val="0"/>
        <w:snapToGrid w:val="0"/>
        <w:spacing w:line="360" w:lineRule="auto"/>
        <w:ind w:left="496"/>
        <w:outlineLvl w:val="5"/>
        <w:rPr>
          <w:rFonts w:hint="eastAsia" w:ascii="宋体" w:hAnsi="宋体" w:eastAsia="宋体" w:cs="宋体"/>
          <w:color w:val="auto"/>
          <w:spacing w:val="0"/>
          <w:sz w:val="24"/>
          <w:szCs w:val="24"/>
          <w:highlight w:val="none"/>
        </w:rPr>
      </w:pPr>
      <w:bookmarkStart w:id="44" w:name="_Toc29370"/>
      <w:bookmarkStart w:id="45" w:name="_Toc10602"/>
      <w:r>
        <w:rPr>
          <w:rFonts w:hint="eastAsia" w:ascii="宋体" w:hAnsi="宋体" w:eastAsia="宋体" w:cs="宋体"/>
          <w:b/>
          <w:bCs/>
          <w:color w:val="auto"/>
          <w:spacing w:val="0"/>
          <w:sz w:val="24"/>
          <w:szCs w:val="24"/>
          <w:highlight w:val="none"/>
        </w:rPr>
        <w:t xml:space="preserve">10.3  </w:t>
      </w:r>
      <w:r>
        <w:rPr>
          <w:rFonts w:hint="eastAsia" w:ascii="宋体" w:hAnsi="宋体" w:eastAsia="宋体" w:cs="宋体"/>
          <w:color w:val="auto"/>
          <w:spacing w:val="0"/>
          <w:sz w:val="24"/>
          <w:szCs w:val="24"/>
          <w:highlight w:val="none"/>
        </w:rPr>
        <w:t>经济标书的编制要求</w:t>
      </w:r>
      <w:bookmarkEnd w:id="44"/>
      <w:bookmarkEnd w:id="45"/>
    </w:p>
    <w:p w14:paraId="4457794F">
      <w:pPr>
        <w:keepNext w:val="0"/>
        <w:keepLines w:val="0"/>
        <w:pageBreakBefore w:val="0"/>
        <w:kinsoku/>
        <w:wordWrap w:val="0"/>
        <w:overflowPunct/>
        <w:topLinePunct/>
        <w:bidi w:val="0"/>
        <w:snapToGrid w:val="0"/>
        <w:spacing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经济标书包括以下内容：</w:t>
      </w:r>
    </w:p>
    <w:p w14:paraId="1F586F83">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3F9B553A">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（2）目录；</w:t>
      </w:r>
    </w:p>
    <w:p w14:paraId="32DFF801">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（3）《投标总价》；</w:t>
      </w:r>
    </w:p>
    <w:p w14:paraId="7860E5AC">
      <w:pPr>
        <w:keepNext w:val="0"/>
        <w:keepLines w:val="0"/>
        <w:pageBreakBefore w:val="0"/>
        <w:kinsoku/>
        <w:wordWrap w:val="0"/>
        <w:overflowPunct/>
        <w:topLinePunct/>
        <w:bidi w:val="0"/>
        <w:snapToGrid w:val="0"/>
        <w:spacing w:line="360" w:lineRule="auto"/>
        <w:ind w:left="5"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说明：《投标总价》的格式按照《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》（GB/T50500-2024）执行，并应满足以下要求：</w:t>
      </w:r>
    </w:p>
    <w:p w14:paraId="2FC019A8">
      <w:pPr>
        <w:keepNext w:val="0"/>
        <w:keepLines w:val="0"/>
        <w:pageBreakBefore w:val="0"/>
        <w:kinsoku/>
        <w:wordWrap w:val="0"/>
        <w:overflowPunct/>
        <w:topLinePunct/>
        <w:bidi w:val="0"/>
        <w:snapToGrid w:val="0"/>
        <w:spacing w:line="360" w:lineRule="auto"/>
        <w:ind w:left="8"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a</w:t>
      </w:r>
      <w:r>
        <w:rPr>
          <w:rFonts w:hint="eastAsia" w:ascii="宋体" w:hAnsi="宋体" w:eastAsia="宋体" w:cs="宋体"/>
          <w:color w:val="auto"/>
          <w:spacing w:val="0"/>
          <w:sz w:val="24"/>
          <w:szCs w:val="24"/>
          <w:highlight w:val="none"/>
        </w:rPr>
        <w:t>．《投标总价扉页》（即扉—3）后应附编制人的造价工程师注册证书彩色扫描件（须扫描至变更注册栏，</w:t>
      </w:r>
      <w:r>
        <w:rPr>
          <w:rFonts w:hint="eastAsia" w:ascii="宋体" w:hAnsi="宋体" w:eastAsia="宋体" w:cs="宋体"/>
          <w:b/>
          <w:bCs/>
          <w:color w:val="auto"/>
          <w:spacing w:val="0"/>
          <w:sz w:val="24"/>
          <w:szCs w:val="24"/>
          <w:highlight w:val="none"/>
        </w:rPr>
        <w:t>一级造价师或二级造价师均可提供电子证书</w:t>
      </w:r>
      <w:r>
        <w:rPr>
          <w:rFonts w:hint="eastAsia" w:ascii="宋体" w:hAnsi="宋体" w:eastAsia="宋体" w:cs="宋体"/>
          <w:color w:val="auto"/>
          <w:spacing w:val="0"/>
          <w:sz w:val="24"/>
          <w:szCs w:val="24"/>
          <w:highlight w:val="none"/>
        </w:rPr>
        <w:t>）；投标人委托造价咨询单位编制《投标总价》的，在该扉页“投标人”栏目加盖造价咨询人公章，并在该扉页后附造价咨询人的营业执照副本彩色扫描件。</w:t>
      </w:r>
    </w:p>
    <w:p w14:paraId="20A8918F">
      <w:pPr>
        <w:keepNext w:val="0"/>
        <w:keepLines w:val="0"/>
        <w:pageBreakBefore w:val="0"/>
        <w:kinsoku/>
        <w:wordWrap w:val="0"/>
        <w:overflowPunct/>
        <w:topLinePunct/>
        <w:bidi w:val="0"/>
        <w:snapToGrid w:val="0"/>
        <w:spacing w:line="360" w:lineRule="auto"/>
        <w:ind w:left="10" w:right="6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投标人认为有必要补充的其他资料（例如关于投标总价下浮率超过15%的书面说明和佐证材料）。</w:t>
      </w:r>
    </w:p>
    <w:p w14:paraId="59553FA5">
      <w:pPr>
        <w:keepNext w:val="0"/>
        <w:keepLines w:val="0"/>
        <w:pageBreakBefore w:val="0"/>
        <w:kinsoku/>
        <w:wordWrap w:val="0"/>
        <w:overflowPunct/>
        <w:topLinePunct/>
        <w:bidi w:val="0"/>
        <w:snapToGrid w:val="0"/>
        <w:spacing w:line="360" w:lineRule="auto"/>
        <w:ind w:left="10" w:right="63"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目中所列出的经济标书组成内容中，第（1）至第（3）项所有投标人均应提供。</w:t>
      </w:r>
    </w:p>
    <w:p w14:paraId="1E4405B8">
      <w:pPr>
        <w:keepNext w:val="0"/>
        <w:keepLines w:val="0"/>
        <w:pageBreakBefore w:val="0"/>
        <w:kinsoku/>
        <w:wordWrap w:val="0"/>
        <w:overflowPunct/>
        <w:topLinePunct/>
        <w:bidi w:val="0"/>
        <w:snapToGrid w:val="0"/>
        <w:spacing w:line="360" w:lineRule="auto"/>
        <w:ind w:left="8" w:right="61"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10.3.3 </w:t>
      </w:r>
      <w:r>
        <w:rPr>
          <w:rFonts w:hint="eastAsia" w:ascii="宋体" w:hAnsi="宋体" w:eastAsia="宋体" w:cs="宋体"/>
          <w:color w:val="auto"/>
          <w:spacing w:val="0"/>
          <w:sz w:val="24"/>
          <w:szCs w:val="24"/>
          <w:highlight w:val="none"/>
        </w:rPr>
        <w:t>经济标书的组成内容按本节第 10.3.1 目规定的顺序整理、编排后，逐页（页码起始从封面开始）连续标记页码。</w:t>
      </w:r>
    </w:p>
    <w:p w14:paraId="6F1A777E">
      <w:pPr>
        <w:keepNext w:val="0"/>
        <w:keepLines w:val="0"/>
        <w:pageBreakBefore w:val="0"/>
        <w:kinsoku/>
        <w:wordWrap w:val="0"/>
        <w:overflowPunct/>
        <w:topLinePunct/>
        <w:bidi w:val="0"/>
        <w:snapToGrid w:val="0"/>
        <w:spacing w:line="360" w:lineRule="auto"/>
        <w:ind w:left="496"/>
        <w:outlineLvl w:val="5"/>
        <w:rPr>
          <w:rFonts w:hint="eastAsia" w:ascii="宋体" w:hAnsi="宋体" w:eastAsia="宋体" w:cs="宋体"/>
          <w:b/>
          <w:bCs/>
          <w:color w:val="auto"/>
          <w:spacing w:val="0"/>
          <w:sz w:val="24"/>
          <w:szCs w:val="24"/>
          <w:highlight w:val="none"/>
        </w:rPr>
      </w:pPr>
    </w:p>
    <w:p w14:paraId="1B14A476">
      <w:pPr>
        <w:keepNext w:val="0"/>
        <w:keepLines w:val="0"/>
        <w:pageBreakBefore w:val="0"/>
        <w:kinsoku/>
        <w:wordWrap w:val="0"/>
        <w:overflowPunct/>
        <w:topLinePunct/>
        <w:bidi w:val="0"/>
        <w:snapToGrid w:val="0"/>
        <w:spacing w:line="360" w:lineRule="auto"/>
        <w:ind w:left="496"/>
        <w:outlineLvl w:val="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  </w:t>
      </w:r>
      <w:r>
        <w:rPr>
          <w:rFonts w:hint="eastAsia" w:ascii="宋体" w:hAnsi="宋体" w:eastAsia="宋体" w:cs="宋体"/>
          <w:color w:val="auto"/>
          <w:spacing w:val="0"/>
          <w:sz w:val="24"/>
          <w:szCs w:val="24"/>
          <w:highlight w:val="none"/>
        </w:rPr>
        <w:t>施工组织设计的编制要求</w:t>
      </w:r>
    </w:p>
    <w:p w14:paraId="66E92FB1">
      <w:pPr>
        <w:keepNext w:val="0"/>
        <w:keepLines w:val="0"/>
        <w:pageBreakBefore w:val="0"/>
        <w:kinsoku/>
        <w:wordWrap w:val="0"/>
        <w:overflowPunct/>
        <w:topLinePunct/>
        <w:bidi w:val="0"/>
        <w:snapToGrid w:val="0"/>
        <w:spacing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10.4.1 </w:t>
      </w:r>
      <w:r>
        <w:rPr>
          <w:rFonts w:hint="eastAsia" w:ascii="宋体" w:hAnsi="宋体" w:eastAsia="宋体" w:cs="宋体"/>
          <w:color w:val="auto"/>
          <w:spacing w:val="0"/>
          <w:sz w:val="24"/>
          <w:szCs w:val="24"/>
          <w:highlight w:val="none"/>
        </w:rPr>
        <w:t>施工组织设计的编制依据包括且不限于：</w:t>
      </w:r>
    </w:p>
    <w:p w14:paraId="5D31AE87">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（1）招标文件及其答疑（或修改）公告；</w:t>
      </w:r>
    </w:p>
    <w:p w14:paraId="475951CA">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（2）施工图及相关资料；</w:t>
      </w:r>
    </w:p>
    <w:p w14:paraId="2012F927">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（3）施工现场情况、工程特点；</w:t>
      </w:r>
    </w:p>
    <w:p w14:paraId="3EF7D7DF">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（4）相关法律、法规、规定；</w:t>
      </w:r>
    </w:p>
    <w:p w14:paraId="2C569933">
      <w:pPr>
        <w:keepNext w:val="0"/>
        <w:keepLines w:val="0"/>
        <w:pageBreakBefore w:val="0"/>
        <w:kinsoku/>
        <w:wordWrap w:val="0"/>
        <w:overflowPunct/>
        <w:topLinePunct/>
        <w:bidi w:val="0"/>
        <w:snapToGrid w:val="0"/>
        <w:spacing w:line="360" w:lineRule="auto"/>
        <w:ind w:left="10" w:right="21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2771C488">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（6）企业内部标准、工法。</w:t>
      </w:r>
    </w:p>
    <w:p w14:paraId="227F5FE9">
      <w:pPr>
        <w:keepNext w:val="0"/>
        <w:keepLines w:val="0"/>
        <w:pageBreakBefore w:val="0"/>
        <w:kinsoku/>
        <w:wordWrap w:val="0"/>
        <w:overflowPunct/>
        <w:topLinePunct/>
        <w:bidi w:val="0"/>
        <w:snapToGrid w:val="0"/>
        <w:spacing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施工组织设计包括但不限于以下内容：</w:t>
      </w:r>
    </w:p>
    <w:p w14:paraId="76E2FE8C">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5994D838">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（2）目录；</w:t>
      </w:r>
    </w:p>
    <w:p w14:paraId="31C5FFEC">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（3）总体概述（包括施工程序总体设想及施工段划分等内容）；</w:t>
      </w:r>
    </w:p>
    <w:p w14:paraId="2436DB47">
      <w:pPr>
        <w:keepNext w:val="0"/>
        <w:keepLines w:val="0"/>
        <w:pageBreakBefore w:val="0"/>
        <w:kinsoku/>
        <w:wordWrap w:val="0"/>
        <w:overflowPunct/>
        <w:topLinePunct/>
        <w:bidi w:val="0"/>
        <w:snapToGrid w:val="0"/>
        <w:spacing w:line="360" w:lineRule="auto"/>
        <w:ind w:left="9" w:right="21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26BC042E">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（5）质量保证措施（包括质量管理目标；相应保证措施；违约责任承诺等内容</w:t>
      </w:r>
      <w:r>
        <w:rPr>
          <w:rFonts w:hint="eastAsia" w:ascii="宋体" w:hAnsi="宋体" w:eastAsia="宋体" w:cs="宋体"/>
          <w:color w:val="auto"/>
          <w:spacing w:val="0"/>
          <w:w w:val="97"/>
          <w:sz w:val="24"/>
          <w:szCs w:val="24"/>
          <w:highlight w:val="none"/>
        </w:rPr>
        <w:t>）；</w:t>
      </w:r>
    </w:p>
    <w:p w14:paraId="4B69D3D9">
      <w:pPr>
        <w:keepNext w:val="0"/>
        <w:keepLines w:val="0"/>
        <w:pageBreakBefore w:val="0"/>
        <w:kinsoku/>
        <w:wordWrap w:val="0"/>
        <w:overflowPunct/>
        <w:topLinePunct/>
        <w:bidi w:val="0"/>
        <w:snapToGrid w:val="0"/>
        <w:spacing w:line="360" w:lineRule="auto"/>
        <w:ind w:left="11" w:right="2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（6）施工技术措施（包括关键施工技术、工艺及工程项目实施的重点、难点分析和解决方案；新技术应用与承诺等内容）；</w:t>
      </w:r>
    </w:p>
    <w:p w14:paraId="1303DA64">
      <w:pPr>
        <w:keepNext w:val="0"/>
        <w:keepLines w:val="0"/>
        <w:pageBreakBefore w:val="0"/>
        <w:kinsoku/>
        <w:wordWrap w:val="0"/>
        <w:overflowPunct/>
        <w:topLinePunct/>
        <w:bidi w:val="0"/>
        <w:snapToGrid w:val="0"/>
        <w:spacing w:line="360"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（7）绿色施工、安全防护、文明施工措施计划(应对建设单位组织的勘察设计等单位在施工招标文件中列出的危大工程清单(详见格式十三)进行投标文件回应，如有)；</w:t>
      </w:r>
    </w:p>
    <w:p w14:paraId="6DD82EAF">
      <w:pPr>
        <w:keepNext w:val="0"/>
        <w:keepLines w:val="0"/>
        <w:pageBreakBefore w:val="0"/>
        <w:kinsoku/>
        <w:wordWrap w:val="0"/>
        <w:overflowPunct/>
        <w:topLinePunct/>
        <w:bidi w:val="0"/>
        <w:snapToGrid w:val="0"/>
        <w:spacing w:line="360"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（8）施工现场总平面布置（</w:t>
      </w:r>
      <w:bookmarkStart w:id="46" w:name="OLE_LINK8"/>
      <w:r>
        <w:rPr>
          <w:rFonts w:hint="eastAsia" w:ascii="宋体" w:hAnsi="宋体" w:eastAsia="宋体" w:cs="宋体"/>
          <w:color w:val="auto"/>
          <w:spacing w:val="0"/>
          <w:sz w:val="24"/>
          <w:szCs w:val="24"/>
          <w:highlight w:val="none"/>
        </w:rPr>
        <w:t>投标人应递交一份施工现场总平面布置图，绘出现场临时设施布置图表并附文字说明，说明临时设施、加工车间、现场办公、设备及仓储、供电、供水、卫生、生活、道路、消防等设施的情况和布置</w:t>
      </w:r>
      <w:bookmarkEnd w:id="46"/>
      <w:r>
        <w:rPr>
          <w:rFonts w:hint="eastAsia" w:ascii="宋体" w:hAnsi="宋体" w:eastAsia="宋体" w:cs="宋体"/>
          <w:color w:val="auto"/>
          <w:spacing w:val="0"/>
          <w:sz w:val="24"/>
          <w:szCs w:val="24"/>
          <w:highlight w:val="none"/>
        </w:rPr>
        <w:t>）；</w:t>
      </w:r>
    </w:p>
    <w:p w14:paraId="59A89588">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（9）项目管理机构。</w:t>
      </w:r>
    </w:p>
    <w:p w14:paraId="3178516F">
      <w:pPr>
        <w:keepNext w:val="0"/>
        <w:keepLines w:val="0"/>
        <w:pageBreakBefore w:val="0"/>
        <w:kinsoku/>
        <w:wordWrap w:val="0"/>
        <w:overflowPunct/>
        <w:topLinePunct/>
        <w:bidi w:val="0"/>
        <w:snapToGrid w:val="0"/>
        <w:spacing w:line="360" w:lineRule="auto"/>
        <w:ind w:right="21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（10）投标人认为有必要补充的其他内容（例如对总包管理的认识以及对专业分包工程的管理、协调、配合、服务方案）。</w:t>
      </w:r>
    </w:p>
    <w:p w14:paraId="4841811F">
      <w:pPr>
        <w:keepNext w:val="0"/>
        <w:keepLines w:val="0"/>
        <w:pageBreakBefore w:val="0"/>
        <w:kinsoku/>
        <w:wordWrap w:val="0"/>
        <w:overflowPunct/>
        <w:topLinePunct/>
        <w:bidi w:val="0"/>
        <w:snapToGrid w:val="0"/>
        <w:spacing w:line="360" w:lineRule="auto"/>
        <w:ind w:right="196"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10.4.3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目中所列出的施工组织设计组成内容中，第（1）至第（9）项所有投标人均应提供。</w:t>
      </w:r>
    </w:p>
    <w:p w14:paraId="68795D83">
      <w:pPr>
        <w:keepNext w:val="0"/>
        <w:keepLines w:val="0"/>
        <w:pageBreakBefore w:val="0"/>
        <w:kinsoku/>
        <w:wordWrap w:val="0"/>
        <w:overflowPunct/>
        <w:topLinePunct/>
        <w:bidi w:val="0"/>
        <w:snapToGrid w:val="0"/>
        <w:spacing w:line="360" w:lineRule="auto"/>
        <w:ind w:right="21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10.4.4 </w:t>
      </w:r>
      <w:r>
        <w:rPr>
          <w:rFonts w:hint="eastAsia" w:ascii="宋体" w:hAnsi="宋体" w:eastAsia="宋体" w:cs="宋体"/>
          <w:color w:val="auto"/>
          <w:spacing w:val="0"/>
          <w:sz w:val="24"/>
          <w:szCs w:val="24"/>
          <w:highlight w:val="none"/>
        </w:rPr>
        <w:t>施工组织设计的组成内容按本节第 10.4.2 目规定的顺序整理、编排后，逐页（页码起始从封面开始）连续标记页码。</w:t>
      </w:r>
    </w:p>
    <w:p w14:paraId="4C02E467">
      <w:pPr>
        <w:keepNext w:val="0"/>
        <w:keepLines w:val="0"/>
        <w:pageBreakBefore w:val="0"/>
        <w:kinsoku/>
        <w:wordWrap w:val="0"/>
        <w:overflowPunct/>
        <w:topLinePunct/>
        <w:bidi w:val="0"/>
        <w:snapToGrid w:val="0"/>
        <w:spacing w:line="360" w:lineRule="auto"/>
        <w:ind w:firstLine="480"/>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10.4.5</w:t>
      </w:r>
      <w:bookmarkStart w:id="47" w:name="OLE_LINK9"/>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施工组织设计的正文不得超过</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150</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页</w:t>
      </w:r>
      <w:r>
        <w:rPr>
          <w:rFonts w:hint="eastAsia" w:ascii="宋体" w:hAnsi="宋体" w:eastAsia="宋体" w:cs="宋体"/>
          <w:color w:val="auto"/>
          <w:spacing w:val="0"/>
          <w:sz w:val="24"/>
          <w:szCs w:val="24"/>
          <w:highlight w:val="none"/>
          <w:lang w:eastAsia="zh-CN"/>
        </w:rPr>
        <w:t>。</w:t>
      </w:r>
      <w:bookmarkEnd w:id="47"/>
      <w:bookmarkStart w:id="48" w:name="bookmark121"/>
      <w:bookmarkEnd w:id="48"/>
    </w:p>
    <w:p w14:paraId="38A58E9E">
      <w:pPr>
        <w:keepNext w:val="0"/>
        <w:keepLines w:val="0"/>
        <w:pageBreakBefore w:val="0"/>
        <w:kinsoku/>
        <w:wordWrap w:val="0"/>
        <w:overflowPunct/>
        <w:topLinePunct/>
        <w:bidi w:val="0"/>
        <w:snapToGrid w:val="0"/>
        <w:spacing w:line="360" w:lineRule="auto"/>
        <w:ind w:firstLine="480"/>
        <w:outlineLvl w:val="9"/>
        <w:rPr>
          <w:rFonts w:hint="eastAsia" w:ascii="宋体" w:hAnsi="宋体" w:eastAsia="宋体" w:cs="宋体"/>
          <w:color w:val="auto"/>
          <w:spacing w:val="0"/>
          <w:sz w:val="24"/>
          <w:szCs w:val="24"/>
          <w:highlight w:val="none"/>
          <w:lang w:eastAsia="zh-CN"/>
        </w:rPr>
      </w:pPr>
    </w:p>
    <w:p w14:paraId="0AF84D7C">
      <w:pPr>
        <w:keepNext w:val="0"/>
        <w:keepLines w:val="0"/>
        <w:pageBreakBefore w:val="0"/>
        <w:kinsoku/>
        <w:wordWrap w:val="0"/>
        <w:overflowPunct/>
        <w:topLinePunct/>
        <w:bidi w:val="0"/>
        <w:snapToGrid w:val="0"/>
        <w:spacing w:line="360" w:lineRule="auto"/>
        <w:ind w:left="496"/>
        <w:outlineLvl w:val="3"/>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10.</w:t>
      </w:r>
      <w:r>
        <w:rPr>
          <w:rFonts w:hint="eastAsia" w:ascii="宋体" w:hAnsi="宋体" w:eastAsia="宋体" w:cs="宋体"/>
          <w:b/>
          <w:bCs/>
          <w:color w:val="auto"/>
          <w:spacing w:val="0"/>
          <w:sz w:val="24"/>
          <w:szCs w:val="24"/>
          <w:highlight w:val="none"/>
          <w:lang w:val="en-US"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定标文件的编制要求</w:t>
      </w:r>
    </w:p>
    <w:p w14:paraId="1A758FEE">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 xml:space="preserve">.1 </w:t>
      </w:r>
      <w:r>
        <w:rPr>
          <w:rFonts w:hint="eastAsia" w:ascii="宋体" w:hAnsi="宋体" w:eastAsia="宋体" w:cs="宋体"/>
          <w:b w:val="0"/>
          <w:bCs w:val="0"/>
          <w:color w:val="auto"/>
          <w:sz w:val="24"/>
          <w:szCs w:val="24"/>
          <w:highlight w:val="none"/>
          <w:lang w:val="en-US" w:eastAsia="zh-CN"/>
        </w:rPr>
        <w:t>定标文件</w:t>
      </w:r>
      <w:r>
        <w:rPr>
          <w:rFonts w:hint="eastAsia" w:ascii="宋体" w:hAnsi="宋体" w:eastAsia="宋体" w:cs="宋体"/>
          <w:b w:val="0"/>
          <w:bCs w:val="0"/>
          <w:color w:val="auto"/>
          <w:sz w:val="24"/>
          <w:szCs w:val="24"/>
          <w:highlight w:val="none"/>
        </w:rPr>
        <w:t>包括以下内容：</w:t>
      </w:r>
    </w:p>
    <w:p w14:paraId="6F48F7A2">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w:t>
      </w:r>
      <w:r>
        <w:rPr>
          <w:rFonts w:hint="eastAsia" w:ascii="宋体" w:hAnsi="宋体" w:eastAsia="宋体" w:cs="宋体"/>
          <w:color w:val="auto"/>
          <w:spacing w:val="0"/>
          <w:sz w:val="24"/>
          <w:szCs w:val="24"/>
          <w:highlight w:val="none"/>
          <w:lang w:val="en-US" w:eastAsia="zh-CN"/>
        </w:rPr>
        <w:t>十七</w:t>
      </w:r>
      <w:r>
        <w:rPr>
          <w:rFonts w:hint="eastAsia" w:ascii="宋体" w:hAnsi="宋体" w:eastAsia="宋体" w:cs="宋体"/>
          <w:color w:val="auto"/>
          <w:spacing w:val="0"/>
          <w:sz w:val="24"/>
          <w:szCs w:val="24"/>
          <w:highlight w:val="none"/>
        </w:rPr>
        <w:t>）；</w:t>
      </w:r>
    </w:p>
    <w:p w14:paraId="2679E8DB">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（2）目录；</w:t>
      </w:r>
    </w:p>
    <w:p w14:paraId="362A9CE1">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w:t>
      </w:r>
      <w:r>
        <w:rPr>
          <w:rFonts w:hint="eastAsia" w:ascii="宋体" w:hAnsi="宋体" w:eastAsia="宋体" w:cs="宋体"/>
          <w:b w:val="0"/>
          <w:bCs w:val="0"/>
          <w:color w:val="auto"/>
          <w:sz w:val="24"/>
          <w:szCs w:val="24"/>
          <w:highlight w:val="none"/>
          <w:lang w:val="en-US" w:eastAsia="zh-CN"/>
        </w:rPr>
        <w:t>定标因素评审资料（格式十八）</w:t>
      </w:r>
    </w:p>
    <w:p w14:paraId="547EAD68">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注：第10.5的定标文件按照本章节第16.5定标因素所列提供，其中第16.5.6无需提供，其余</w:t>
      </w:r>
      <w:r>
        <w:rPr>
          <w:rFonts w:hint="eastAsia" w:ascii="宋体" w:hAnsi="宋体" w:eastAsia="宋体" w:cs="宋体"/>
          <w:b/>
          <w:bCs/>
          <w:color w:val="auto"/>
          <w:sz w:val="24"/>
          <w:szCs w:val="24"/>
          <w:highlight w:val="none"/>
        </w:rPr>
        <w:t>所有投标人均应提供。</w:t>
      </w:r>
    </w:p>
    <w:p w14:paraId="69C85AED">
      <w:pPr>
        <w:keepNext w:val="0"/>
        <w:keepLines w:val="0"/>
        <w:pageBreakBefore w:val="0"/>
        <w:kinsoku/>
        <w:wordWrap w:val="0"/>
        <w:overflowPunct/>
        <w:topLinePunct/>
        <w:bidi w:val="0"/>
        <w:snapToGrid w:val="0"/>
        <w:spacing w:line="360" w:lineRule="auto"/>
        <w:ind w:firstLine="480"/>
        <w:outlineLvl w:val="9"/>
        <w:rPr>
          <w:rFonts w:hint="eastAsia" w:ascii="宋体" w:hAnsi="宋体" w:eastAsia="宋体" w:cs="宋体"/>
          <w:color w:val="auto"/>
          <w:spacing w:val="0"/>
          <w:sz w:val="24"/>
          <w:szCs w:val="24"/>
          <w:highlight w:val="none"/>
          <w:lang w:eastAsia="zh-CN"/>
        </w:rPr>
      </w:pPr>
    </w:p>
    <w:p w14:paraId="0A433FF6">
      <w:pPr>
        <w:keepNext w:val="0"/>
        <w:keepLines w:val="0"/>
        <w:pageBreakBefore w:val="0"/>
        <w:kinsoku/>
        <w:wordWrap w:val="0"/>
        <w:overflowPunct/>
        <w:topLinePunct/>
        <w:bidi w:val="0"/>
        <w:snapToGrid w:val="0"/>
        <w:spacing w:line="360" w:lineRule="auto"/>
        <w:ind w:left="496"/>
        <w:outlineLvl w:val="4"/>
        <w:rPr>
          <w:rFonts w:hint="eastAsia" w:ascii="宋体" w:hAnsi="宋体" w:eastAsia="宋体" w:cs="宋体"/>
          <w:color w:val="auto"/>
          <w:spacing w:val="0"/>
          <w:sz w:val="24"/>
          <w:szCs w:val="24"/>
          <w:highlight w:val="none"/>
        </w:rPr>
      </w:pPr>
      <w:bookmarkStart w:id="49" w:name="_Toc21936"/>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电子投标：</w:t>
      </w:r>
      <w:bookmarkEnd w:id="49"/>
    </w:p>
    <w:p w14:paraId="6FBE004F">
      <w:pPr>
        <w:keepNext w:val="0"/>
        <w:keepLines w:val="0"/>
        <w:pageBreakBefore w:val="0"/>
        <w:kinsoku/>
        <w:wordWrap w:val="0"/>
        <w:overflowPunct/>
        <w:topLinePunct/>
        <w:bidi w:val="0"/>
        <w:snapToGrid w:val="0"/>
        <w:spacing w:line="360" w:lineRule="auto"/>
        <w:ind w:left="10"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在建设工程交易系统上传加盖了电子印章的投标文件、录入相关信息及标书页码信息，</w:t>
      </w:r>
      <w:r>
        <w:rPr>
          <w:rFonts w:hint="eastAsia" w:ascii="宋体" w:hAnsi="宋体" w:eastAsia="宋体" w:cs="宋体"/>
          <w:b/>
          <w:bCs/>
          <w:color w:val="auto"/>
          <w:spacing w:val="0"/>
          <w:sz w:val="24"/>
          <w:szCs w:val="24"/>
          <w:highlight w:val="none"/>
        </w:rPr>
        <w:t>（页码起始从封面开始）</w:t>
      </w:r>
      <w:r>
        <w:rPr>
          <w:rFonts w:hint="eastAsia" w:ascii="宋体" w:hAnsi="宋体" w:eastAsia="宋体" w:cs="宋体"/>
          <w:color w:val="auto"/>
          <w:spacing w:val="0"/>
          <w:sz w:val="24"/>
          <w:szCs w:val="24"/>
          <w:highlight w:val="none"/>
        </w:rPr>
        <w:t>并提交投标标书。提交标书为已加密投标文件。 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44B7A0F8">
      <w:pPr>
        <w:keepNext w:val="0"/>
        <w:keepLines w:val="0"/>
        <w:pageBreakBefore w:val="0"/>
        <w:kinsoku/>
        <w:wordWrap w:val="0"/>
        <w:overflowPunct/>
        <w:topLinePunct/>
        <w:bidi w:val="0"/>
        <w:snapToGrid w:val="0"/>
        <w:spacing w:line="360" w:lineRule="auto"/>
        <w:ind w:left="10" w:right="81"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158F0A87">
      <w:pPr>
        <w:keepNext w:val="0"/>
        <w:keepLines w:val="0"/>
        <w:pageBreakBefore w:val="0"/>
        <w:widowControl/>
        <w:numPr>
          <w:ilvl w:val="0"/>
          <w:numId w:val="0"/>
        </w:numPr>
        <w:kinsoku/>
        <w:wordWrap w:val="0"/>
        <w:overflowPunct/>
        <w:topLinePunct/>
        <w:autoSpaceDE w:val="0"/>
        <w:autoSpaceDN w:val="0"/>
        <w:bidi w:val="0"/>
        <w:adjustRightInd w:val="0"/>
        <w:snapToGrid w:val="0"/>
        <w:spacing w:line="360" w:lineRule="auto"/>
        <w:ind w:firstLine="482" w:firstLineChars="200"/>
        <w:textAlignment w:val="baseline"/>
        <w:outlineLvl w:val="4"/>
        <w:rPr>
          <w:rFonts w:hint="eastAsia" w:ascii="宋体" w:hAnsi="宋体" w:eastAsia="宋体" w:cs="宋体"/>
          <w:b/>
          <w:bCs/>
          <w:color w:val="auto"/>
          <w:spacing w:val="0"/>
          <w:sz w:val="24"/>
          <w:szCs w:val="24"/>
          <w:highlight w:val="none"/>
          <w:lang w:val="en-US" w:eastAsia="zh-CN"/>
        </w:rPr>
      </w:pPr>
    </w:p>
    <w:p w14:paraId="3A7CE10B">
      <w:pPr>
        <w:keepNext w:val="0"/>
        <w:keepLines w:val="0"/>
        <w:pageBreakBefore w:val="0"/>
        <w:widowControl/>
        <w:numPr>
          <w:ilvl w:val="0"/>
          <w:numId w:val="0"/>
        </w:numPr>
        <w:kinsoku/>
        <w:wordWrap w:val="0"/>
        <w:overflowPunct/>
        <w:topLinePunct/>
        <w:autoSpaceDE w:val="0"/>
        <w:autoSpaceDN w:val="0"/>
        <w:bidi w:val="0"/>
        <w:adjustRightInd w:val="0"/>
        <w:snapToGrid w:val="0"/>
        <w:spacing w:line="360" w:lineRule="auto"/>
        <w:ind w:firstLine="482" w:firstLineChars="200"/>
        <w:textAlignment w:val="baseline"/>
        <w:outlineLvl w:val="4"/>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12.</w:t>
      </w:r>
      <w:r>
        <w:rPr>
          <w:rFonts w:hint="eastAsia" w:ascii="宋体" w:hAnsi="宋体" w:eastAsia="宋体" w:cs="宋体"/>
          <w:b/>
          <w:bCs/>
          <w:color w:val="auto"/>
          <w:spacing w:val="0"/>
          <w:w w:val="101"/>
          <w:sz w:val="24"/>
          <w:szCs w:val="24"/>
          <w:highlight w:val="none"/>
        </w:rPr>
        <w:t xml:space="preserve"> </w:t>
      </w:r>
      <w:bookmarkStart w:id="50" w:name="_Toc29834"/>
      <w:r>
        <w:rPr>
          <w:rFonts w:hint="eastAsia" w:ascii="宋体" w:hAnsi="宋体" w:eastAsia="宋体" w:cs="宋体"/>
          <w:b/>
          <w:bCs/>
          <w:color w:val="auto"/>
          <w:spacing w:val="0"/>
          <w:sz w:val="24"/>
          <w:szCs w:val="24"/>
          <w:highlight w:val="none"/>
        </w:rPr>
        <w:t>电子投标及投标解密失败及突发情况的补救方案</w:t>
      </w:r>
      <w:bookmarkEnd w:id="50"/>
    </w:p>
    <w:p w14:paraId="6093D9B5">
      <w:pPr>
        <w:keepNext w:val="0"/>
        <w:keepLines w:val="0"/>
        <w:pageBreakBefore w:val="0"/>
        <w:widowControl/>
        <w:kinsoku/>
        <w:wordWrap w:val="0"/>
        <w:overflowPunct/>
        <w:topLinePunct/>
        <w:autoSpaceDE w:val="0"/>
        <w:autoSpaceDN w:val="0"/>
        <w:bidi w:val="0"/>
        <w:adjustRightInd w:val="0"/>
        <w:snapToGrid w:val="0"/>
        <w:spacing w:line="360"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按照交易平台关于全流程电子化项目的相关指南进行操作。详见：全国公共资源交易平台（广东省·韶关市）（https://ygp.gdzwfw.gov.cn/ggzy-portal/#/44 0200/index）服务指南栏目发布的最新版操作指引。</w:t>
      </w:r>
    </w:p>
    <w:p w14:paraId="100B0563">
      <w:pPr>
        <w:keepNext w:val="0"/>
        <w:keepLines w:val="0"/>
        <w:pageBreakBefore w:val="0"/>
        <w:widowControl/>
        <w:kinsoku/>
        <w:wordWrap w:val="0"/>
        <w:overflowPunct/>
        <w:topLinePunct/>
        <w:autoSpaceDE w:val="0"/>
        <w:autoSpaceDN w:val="0"/>
        <w:bidi w:val="0"/>
        <w:adjustRightInd w:val="0"/>
        <w:snapToGrid w:val="0"/>
        <w:spacing w:line="360" w:lineRule="auto"/>
        <w:ind w:left="49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补救方案：</w:t>
      </w:r>
    </w:p>
    <w:p w14:paraId="39AE644C">
      <w:pPr>
        <w:keepNext w:val="0"/>
        <w:keepLines w:val="0"/>
        <w:pageBreakBefore w:val="0"/>
        <w:kinsoku/>
        <w:wordWrap w:val="0"/>
        <w:overflowPunct/>
        <w:topLinePunct/>
        <w:bidi w:val="0"/>
        <w:snapToGrid w:val="0"/>
        <w:spacing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12.2.1  </w:t>
      </w:r>
      <w:r>
        <w:rPr>
          <w:rFonts w:hint="eastAsia" w:ascii="宋体" w:hAnsi="宋体" w:eastAsia="宋体" w:cs="宋体"/>
          <w:color w:val="auto"/>
          <w:spacing w:val="0"/>
          <w:sz w:val="24"/>
          <w:szCs w:val="24"/>
          <w:highlight w:val="none"/>
        </w:rPr>
        <w:t>投标文件解密失败的补救方案：</w:t>
      </w:r>
    </w:p>
    <w:p w14:paraId="7D868A0B">
      <w:pPr>
        <w:keepNext w:val="0"/>
        <w:keepLines w:val="0"/>
        <w:pageBreakBefore w:val="0"/>
        <w:kinsoku/>
        <w:wordWrap w:val="0"/>
        <w:overflowPunct/>
        <w:topLinePunct/>
        <w:bidi w:val="0"/>
        <w:snapToGrid w:val="0"/>
        <w:spacing w:line="360"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51" w:name="bookmark122"/>
      <w:bookmarkEnd w:id="51"/>
      <w:r>
        <w:rPr>
          <w:rFonts w:hint="eastAsia" w:ascii="宋体" w:hAnsi="宋体" w:eastAsia="宋体" w:cs="宋体"/>
          <w:color w:val="auto"/>
          <w:spacing w:val="0"/>
          <w:sz w:val="24"/>
          <w:szCs w:val="24"/>
          <w:highlight w:val="none"/>
        </w:rPr>
        <w:t>重新提交投标文件继续开标程序。</w:t>
      </w:r>
    </w:p>
    <w:p w14:paraId="4EB016C6">
      <w:pPr>
        <w:keepNext w:val="0"/>
        <w:keepLines w:val="0"/>
        <w:pageBreakBefore w:val="0"/>
        <w:kinsoku/>
        <w:wordWrap w:val="0"/>
        <w:overflowPunct/>
        <w:topLinePunct/>
        <w:bidi w:val="0"/>
        <w:snapToGrid w:val="0"/>
        <w:spacing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12.2.2  </w:t>
      </w:r>
      <w:r>
        <w:rPr>
          <w:rFonts w:hint="eastAsia" w:ascii="宋体" w:hAnsi="宋体" w:eastAsia="宋体" w:cs="宋体"/>
          <w:color w:val="auto"/>
          <w:spacing w:val="0"/>
          <w:sz w:val="24"/>
          <w:szCs w:val="24"/>
          <w:highlight w:val="none"/>
        </w:rPr>
        <w:t>评标时突发情况的补救方案</w:t>
      </w:r>
    </w:p>
    <w:p w14:paraId="34CF6B81">
      <w:pPr>
        <w:keepNext w:val="0"/>
        <w:keepLines w:val="0"/>
        <w:pageBreakBefore w:val="0"/>
        <w:kinsoku/>
        <w:wordWrap w:val="0"/>
        <w:overflowPunct/>
        <w:topLinePunct/>
        <w:bidi w:val="0"/>
        <w:snapToGrid w:val="0"/>
        <w:spacing w:line="360"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在评标过程中，因主场或副场网络故障、电子设备或者评标系统故障，以及其他原因导致无法继续进行评标时，在 4 小时以内解除故障的可继续评标，超过 4 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49D8EA79">
      <w:pPr>
        <w:keepNext w:val="0"/>
        <w:keepLines w:val="0"/>
        <w:pageBreakBefore w:val="0"/>
        <w:kinsoku/>
        <w:wordWrap w:val="0"/>
        <w:overflowPunct/>
        <w:topLinePunct/>
        <w:bidi w:val="0"/>
        <w:snapToGrid w:val="0"/>
        <w:spacing w:line="360" w:lineRule="auto"/>
        <w:ind w:left="11" w:right="81"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12.2.3  </w:t>
      </w:r>
      <w:r>
        <w:rPr>
          <w:rFonts w:hint="eastAsia" w:ascii="宋体" w:hAnsi="宋体" w:eastAsia="宋体" w:cs="宋体"/>
          <w:color w:val="auto"/>
          <w:spacing w:val="0"/>
          <w:sz w:val="24"/>
          <w:szCs w:val="24"/>
          <w:highlight w:val="none"/>
        </w:rPr>
        <w:t>除发生上述情况外，开标评标均以投标人（联合体投标的，由联合体牵头人）通过交易平台网上递交的电子投标文件为准。</w:t>
      </w:r>
    </w:p>
    <w:p w14:paraId="6A92B78C">
      <w:pPr>
        <w:keepNext w:val="0"/>
        <w:keepLines w:val="0"/>
        <w:pageBreakBefore w:val="0"/>
        <w:kinsoku/>
        <w:wordWrap w:val="0"/>
        <w:overflowPunct/>
        <w:topLinePunct/>
        <w:bidi w:val="0"/>
        <w:snapToGrid w:val="0"/>
        <w:spacing w:line="360" w:lineRule="auto"/>
        <w:ind w:left="496"/>
        <w:outlineLvl w:val="4"/>
        <w:rPr>
          <w:rFonts w:hint="eastAsia" w:ascii="宋体" w:hAnsi="宋体" w:eastAsia="宋体" w:cs="宋体"/>
          <w:b/>
          <w:bCs/>
          <w:color w:val="auto"/>
          <w:spacing w:val="0"/>
          <w:sz w:val="24"/>
          <w:szCs w:val="24"/>
          <w:highlight w:val="none"/>
        </w:rPr>
      </w:pPr>
      <w:bookmarkStart w:id="52" w:name="_Toc27195"/>
    </w:p>
    <w:p w14:paraId="0CD2D78D">
      <w:pPr>
        <w:keepNext w:val="0"/>
        <w:keepLines w:val="0"/>
        <w:pageBreakBefore w:val="0"/>
        <w:kinsoku/>
        <w:wordWrap w:val="0"/>
        <w:overflowPunct/>
        <w:topLinePunct/>
        <w:bidi w:val="0"/>
        <w:snapToGrid w:val="0"/>
        <w:spacing w:line="360" w:lineRule="auto"/>
        <w:ind w:left="496"/>
        <w:outlineLvl w:val="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13 ．投标文件的提交</w:t>
      </w:r>
      <w:bookmarkEnd w:id="52"/>
    </w:p>
    <w:p w14:paraId="59CF3B2F">
      <w:pPr>
        <w:keepNext w:val="0"/>
        <w:keepLines w:val="0"/>
        <w:pageBreakBefore w:val="0"/>
        <w:kinsoku/>
        <w:wordWrap w:val="0"/>
        <w:overflowPunct/>
        <w:topLinePunct/>
        <w:bidi w:val="0"/>
        <w:snapToGrid w:val="0"/>
        <w:spacing w:line="360" w:lineRule="auto"/>
        <w:ind w:left="13" w:right="81"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13.1  </w:t>
      </w:r>
      <w:r>
        <w:rPr>
          <w:rFonts w:hint="eastAsia" w:ascii="宋体" w:hAnsi="宋体" w:eastAsia="宋体" w:cs="宋体"/>
          <w:color w:val="auto"/>
          <w:spacing w:val="0"/>
          <w:sz w:val="24"/>
          <w:szCs w:val="24"/>
          <w:highlight w:val="none"/>
        </w:rPr>
        <w:t>在投标文件提交截止时间前，投标人通过全国公共资源交易平台（广东省 ·韶关市）提交已加密投标文件。逾期提交的电子投标文件，全国公共资源交易平台（广东省 ·韶关市）新建设工程交易系统将予以拒收。</w:t>
      </w:r>
    </w:p>
    <w:p w14:paraId="6C72C110">
      <w:pPr>
        <w:keepNext w:val="0"/>
        <w:keepLines w:val="0"/>
        <w:pageBreakBefore w:val="0"/>
        <w:kinsoku/>
        <w:wordWrap w:val="0"/>
        <w:overflowPunct/>
        <w:topLinePunct/>
        <w:bidi w:val="0"/>
        <w:snapToGrid w:val="0"/>
        <w:spacing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13.2  </w:t>
      </w:r>
      <w:r>
        <w:rPr>
          <w:rFonts w:hint="eastAsia" w:ascii="宋体" w:hAnsi="宋体" w:eastAsia="宋体" w:cs="宋体"/>
          <w:color w:val="auto"/>
          <w:spacing w:val="0"/>
          <w:sz w:val="24"/>
          <w:szCs w:val="24"/>
          <w:highlight w:val="none"/>
        </w:rPr>
        <w:t>提交时间和地点：见本章第二节“重要事项时间地点一览表 ”</w:t>
      </w:r>
    </w:p>
    <w:p w14:paraId="2B1BE41B">
      <w:pPr>
        <w:keepNext w:val="0"/>
        <w:keepLines w:val="0"/>
        <w:pageBreakBefore w:val="0"/>
        <w:kinsoku/>
        <w:wordWrap w:val="0"/>
        <w:overflowPunct/>
        <w:topLinePunct/>
        <w:bidi w:val="0"/>
        <w:snapToGrid w:val="0"/>
        <w:spacing w:line="360"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13.3  </w:t>
      </w:r>
      <w:r>
        <w:rPr>
          <w:rFonts w:hint="eastAsia" w:ascii="宋体" w:hAnsi="宋体" w:eastAsia="宋体" w:cs="宋体"/>
          <w:color w:val="auto"/>
          <w:spacing w:val="0"/>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w:t>
      </w:r>
    </w:p>
    <w:p w14:paraId="7F72EFFA">
      <w:pPr>
        <w:keepNext w:val="0"/>
        <w:keepLines w:val="0"/>
        <w:pageBreakBefore w:val="0"/>
        <w:kinsoku/>
        <w:wordWrap w:val="0"/>
        <w:overflowPunct/>
        <w:topLinePunct/>
        <w:bidi w:val="0"/>
        <w:snapToGrid w:val="0"/>
        <w:spacing w:line="360"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13.4  </w:t>
      </w:r>
      <w:r>
        <w:rPr>
          <w:rFonts w:hint="eastAsia" w:ascii="宋体" w:hAnsi="宋体" w:eastAsia="宋体" w:cs="宋体"/>
          <w:color w:val="auto"/>
          <w:spacing w:val="0"/>
          <w:sz w:val="24"/>
          <w:szCs w:val="24"/>
          <w:highlight w:val="none"/>
        </w:rPr>
        <w:t>代理机构对因不可抗力事件造成的投标文件的损坏、丢失的，不承担责任。</w:t>
      </w:r>
    </w:p>
    <w:p w14:paraId="4AEA4A72">
      <w:pPr>
        <w:keepNext w:val="0"/>
        <w:keepLines w:val="0"/>
        <w:pageBreakBefore w:val="0"/>
        <w:kinsoku/>
        <w:wordWrap w:val="0"/>
        <w:overflowPunct/>
        <w:topLinePunct/>
        <w:bidi w:val="0"/>
        <w:snapToGrid w:val="0"/>
        <w:spacing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13.5  </w:t>
      </w:r>
      <w:r>
        <w:rPr>
          <w:rFonts w:hint="eastAsia" w:ascii="宋体" w:hAnsi="宋体" w:eastAsia="宋体" w:cs="宋体"/>
          <w:color w:val="auto"/>
          <w:spacing w:val="0"/>
          <w:sz w:val="24"/>
          <w:szCs w:val="24"/>
          <w:highlight w:val="none"/>
        </w:rPr>
        <w:t>出现下述情形之一，属于未成功提交投标文件，按无效投标处理：</w:t>
      </w:r>
    </w:p>
    <w:p w14:paraId="1BF6F7FC">
      <w:pPr>
        <w:keepNext w:val="0"/>
        <w:keepLines w:val="0"/>
        <w:pageBreakBefore w:val="0"/>
        <w:kinsoku/>
        <w:wordWrap w:val="0"/>
        <w:overflowPunct/>
        <w:topLinePunct/>
        <w:bidi w:val="0"/>
        <w:snapToGrid w:val="0"/>
        <w:spacing w:line="36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（1）至提交投标文件截止时，投标文件未完整上传及提交标书；</w:t>
      </w:r>
    </w:p>
    <w:p w14:paraId="001040DD">
      <w:pPr>
        <w:keepNext w:val="0"/>
        <w:keepLines w:val="0"/>
        <w:pageBreakBefore w:val="0"/>
        <w:kinsoku/>
        <w:wordWrap w:val="0"/>
        <w:overflowPunct/>
        <w:topLinePunct/>
        <w:bidi w:val="0"/>
        <w:snapToGrid w:val="0"/>
        <w:spacing w:line="36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（2）解密失败且在规定时间内未重新提交投标文件的；</w:t>
      </w:r>
    </w:p>
    <w:p w14:paraId="52696F19">
      <w:pPr>
        <w:keepNext w:val="0"/>
        <w:keepLines w:val="0"/>
        <w:pageBreakBefore w:val="0"/>
        <w:kinsoku/>
        <w:wordWrap w:val="0"/>
        <w:overflowPunct/>
        <w:topLinePunct/>
        <w:bidi w:val="0"/>
        <w:snapToGrid w:val="0"/>
        <w:spacing w:line="36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（3）投标文件损坏或格式不正确的；</w:t>
      </w:r>
    </w:p>
    <w:p w14:paraId="54515F61">
      <w:pPr>
        <w:keepNext w:val="0"/>
        <w:keepLines w:val="0"/>
        <w:pageBreakBefore w:val="0"/>
        <w:kinsoku/>
        <w:wordWrap w:val="0"/>
        <w:overflowPunct/>
        <w:topLinePunct/>
        <w:bidi w:val="0"/>
        <w:snapToGrid w:val="0"/>
        <w:spacing w:line="360" w:lineRule="auto"/>
        <w:ind w:left="496"/>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 xml:space="preserve">13.6  </w:t>
      </w:r>
      <w:r>
        <w:rPr>
          <w:rFonts w:hint="eastAsia" w:ascii="宋体" w:hAnsi="宋体" w:eastAsia="宋体" w:cs="宋体"/>
          <w:color w:val="auto"/>
          <w:spacing w:val="0"/>
          <w:sz w:val="24"/>
          <w:szCs w:val="24"/>
          <w:highlight w:val="none"/>
        </w:rPr>
        <w:t>联合体投标的，由联合体牵头人按以上要求递交相关资料。</w:t>
      </w:r>
      <w:r>
        <w:rPr>
          <w:rFonts w:hint="eastAsia" w:ascii="宋体" w:hAnsi="宋体" w:eastAsia="宋体" w:cs="宋体"/>
          <w:b/>
          <w:bCs/>
          <w:color w:val="auto"/>
          <w:spacing w:val="0"/>
          <w:sz w:val="24"/>
          <w:szCs w:val="24"/>
          <w:highlight w:val="none"/>
        </w:rPr>
        <w:t>（本项目不适用于</w:t>
      </w:r>
    </w:p>
    <w:p w14:paraId="17820FCE">
      <w:pPr>
        <w:keepNext w:val="0"/>
        <w:keepLines w:val="0"/>
        <w:pageBreakBefore w:val="0"/>
        <w:kinsoku/>
        <w:wordWrap w:val="0"/>
        <w:overflowPunct/>
        <w:topLinePunct/>
        <w:bidi w:val="0"/>
        <w:snapToGrid w:val="0"/>
        <w:spacing w:line="360" w:lineRule="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本项）</w:t>
      </w:r>
    </w:p>
    <w:p w14:paraId="59C226FB">
      <w:pPr>
        <w:keepNext w:val="0"/>
        <w:keepLines w:val="0"/>
        <w:pageBreakBefore w:val="0"/>
        <w:widowControl/>
        <w:kinsoku/>
        <w:wordWrap w:val="0"/>
        <w:overflowPunct/>
        <w:topLinePunct/>
        <w:autoSpaceDE w:val="0"/>
        <w:autoSpaceDN w:val="0"/>
        <w:bidi w:val="0"/>
        <w:adjustRightInd w:val="0"/>
        <w:snapToGrid w:val="0"/>
        <w:spacing w:line="360" w:lineRule="auto"/>
        <w:ind w:left="11"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13.7  </w:t>
      </w:r>
      <w:r>
        <w:rPr>
          <w:rFonts w:hint="eastAsia" w:ascii="宋体" w:hAnsi="宋体" w:eastAsia="宋体" w:cs="宋体"/>
          <w:color w:val="auto"/>
          <w:spacing w:val="0"/>
          <w:sz w:val="24"/>
          <w:szCs w:val="24"/>
          <w:highlight w:val="none"/>
        </w:rPr>
        <w:t>招标人或其授权的招标代理机构核对、接收投标人递交的投标相关资料后，应向投标人出具标明签收人和签收时间的凭证，并妥善保管。</w:t>
      </w:r>
    </w:p>
    <w:p w14:paraId="1917E51D">
      <w:pPr>
        <w:keepNext w:val="0"/>
        <w:keepLines w:val="0"/>
        <w:pageBreakBefore w:val="0"/>
        <w:kinsoku/>
        <w:wordWrap w:val="0"/>
        <w:overflowPunct/>
        <w:topLinePunct/>
        <w:bidi w:val="0"/>
        <w:snapToGrid w:val="0"/>
        <w:spacing w:line="360"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13.8 </w:t>
      </w:r>
      <w:r>
        <w:rPr>
          <w:rFonts w:hint="eastAsia" w:ascii="宋体" w:hAnsi="宋体" w:eastAsia="宋体" w:cs="宋体"/>
          <w:color w:val="auto"/>
          <w:spacing w:val="0"/>
          <w:sz w:val="24"/>
          <w:szCs w:val="24"/>
          <w:highlight w:val="none"/>
        </w:rPr>
        <w:t xml:space="preserve"> 本次招标投标有效期为</w:t>
      </w:r>
      <w:r>
        <w:rPr>
          <w:rFonts w:hint="eastAsia" w:ascii="宋体" w:hAnsi="宋体" w:eastAsia="宋体" w:cs="宋体"/>
          <w:color w:val="auto"/>
          <w:spacing w:val="0"/>
          <w:sz w:val="24"/>
          <w:szCs w:val="24"/>
          <w:highlight w:val="none"/>
          <w:u w:val="single"/>
          <w:lang w:eastAsia="zh-CN"/>
        </w:rPr>
        <w:t>90</w:t>
      </w:r>
      <w:r>
        <w:rPr>
          <w:rFonts w:hint="eastAsia" w:ascii="宋体" w:hAnsi="宋体" w:eastAsia="宋体" w:cs="宋体"/>
          <w:color w:val="auto"/>
          <w:spacing w:val="0"/>
          <w:sz w:val="24"/>
          <w:szCs w:val="24"/>
          <w:highlight w:val="none"/>
        </w:rPr>
        <w:t>个日历天，投标有效期从提交投标文件的截止之日起计算。在此期间，投标人不得撤销或修改其投标文件，否则其投标保证不予退还。</w:t>
      </w:r>
    </w:p>
    <w:p w14:paraId="6184FAE8">
      <w:pPr>
        <w:keepNext w:val="0"/>
        <w:keepLines w:val="0"/>
        <w:pageBreakBefore w:val="0"/>
        <w:kinsoku/>
        <w:wordWrap w:val="0"/>
        <w:overflowPunct/>
        <w:topLinePunct/>
        <w:bidi w:val="0"/>
        <w:snapToGrid w:val="0"/>
        <w:spacing w:line="360" w:lineRule="auto"/>
        <w:ind w:left="496"/>
        <w:outlineLvl w:val="3"/>
        <w:rPr>
          <w:rFonts w:hint="eastAsia" w:ascii="宋体" w:hAnsi="宋体" w:eastAsia="宋体" w:cs="宋体"/>
          <w:b/>
          <w:bCs/>
          <w:color w:val="auto"/>
          <w:spacing w:val="0"/>
          <w:sz w:val="24"/>
          <w:szCs w:val="24"/>
          <w:highlight w:val="none"/>
        </w:rPr>
      </w:pPr>
      <w:bookmarkStart w:id="53" w:name="_Toc22047"/>
    </w:p>
    <w:p w14:paraId="67952F60">
      <w:pPr>
        <w:keepNext w:val="0"/>
        <w:keepLines w:val="0"/>
        <w:pageBreakBefore w:val="0"/>
        <w:kinsoku/>
        <w:wordWrap w:val="0"/>
        <w:overflowPunct/>
        <w:topLinePunct/>
        <w:bidi w:val="0"/>
        <w:snapToGrid w:val="0"/>
        <w:spacing w:line="360" w:lineRule="auto"/>
        <w:ind w:left="496"/>
        <w:outlineLvl w:val="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14 ．开标</w:t>
      </w:r>
      <w:bookmarkEnd w:id="53"/>
    </w:p>
    <w:p w14:paraId="0D3F037D">
      <w:pPr>
        <w:keepNext w:val="0"/>
        <w:keepLines w:val="0"/>
        <w:pageBreakBefore w:val="0"/>
        <w:kinsoku/>
        <w:wordWrap w:val="0"/>
        <w:overflowPunct/>
        <w:topLinePunct/>
        <w:bidi w:val="0"/>
        <w:snapToGrid w:val="0"/>
        <w:spacing w:line="360" w:lineRule="auto"/>
        <w:ind w:left="10" w:right="81" w:firstLine="48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  </w:t>
      </w:r>
      <w:r>
        <w:rPr>
          <w:rFonts w:hint="eastAsia" w:ascii="宋体" w:hAnsi="宋体" w:eastAsia="宋体" w:cs="宋体"/>
          <w:color w:val="auto"/>
          <w:spacing w:val="0"/>
          <w:sz w:val="24"/>
          <w:szCs w:val="24"/>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w:t>
      </w:r>
      <w:bookmarkStart w:id="54" w:name="bookmark123"/>
      <w:bookmarkEnd w:id="54"/>
      <w:r>
        <w:rPr>
          <w:rFonts w:hint="eastAsia" w:ascii="宋体" w:hAnsi="宋体" w:eastAsia="宋体" w:cs="宋体"/>
          <w:color w:val="auto"/>
          <w:spacing w:val="0"/>
          <w:sz w:val="24"/>
          <w:szCs w:val="24"/>
          <w:highlight w:val="none"/>
        </w:rPr>
        <w:t>标的，视其默认开标结果，以及放弃在开标期间见证、监督、投诉、申辩的权利。</w:t>
      </w:r>
    </w:p>
    <w:p w14:paraId="6BA27C7B">
      <w:pPr>
        <w:keepNext w:val="0"/>
        <w:keepLines w:val="0"/>
        <w:pageBreakBefore w:val="0"/>
        <w:kinsoku/>
        <w:wordWrap w:val="0"/>
        <w:overflowPunct/>
        <w:topLinePunct/>
        <w:bidi w:val="0"/>
        <w:snapToGrid w:val="0"/>
        <w:spacing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14.1.1  </w:t>
      </w:r>
      <w:r>
        <w:rPr>
          <w:rFonts w:hint="eastAsia" w:ascii="宋体" w:hAnsi="宋体" w:eastAsia="宋体" w:cs="宋体"/>
          <w:color w:val="auto"/>
          <w:spacing w:val="0"/>
          <w:sz w:val="24"/>
          <w:szCs w:val="24"/>
          <w:highlight w:val="none"/>
        </w:rPr>
        <w:t>开标时间和地点：见本章第二节“重要事项时间地点一览表”。</w:t>
      </w:r>
    </w:p>
    <w:p w14:paraId="0D73AD20">
      <w:pPr>
        <w:keepNext w:val="0"/>
        <w:keepLines w:val="0"/>
        <w:pageBreakBefore w:val="0"/>
        <w:widowControl/>
        <w:kinsoku/>
        <w:wordWrap w:val="0"/>
        <w:overflowPunct/>
        <w:topLinePunct/>
        <w:autoSpaceDE w:val="0"/>
        <w:autoSpaceDN w:val="0"/>
        <w:bidi w:val="0"/>
        <w:adjustRightInd w:val="0"/>
        <w:snapToGrid w:val="0"/>
        <w:spacing w:line="360" w:lineRule="auto"/>
        <w:ind w:left="11"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14.1.2 </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 ggzy-portal/#/440200/index）查询是否发布了取消开标活动的相关信息。</w:t>
      </w:r>
    </w:p>
    <w:p w14:paraId="52C3064C">
      <w:pPr>
        <w:keepNext w:val="0"/>
        <w:keepLines w:val="0"/>
        <w:pageBreakBefore w:val="0"/>
        <w:kinsoku/>
        <w:wordWrap w:val="0"/>
        <w:overflowPunct/>
        <w:topLinePunct/>
        <w:bidi w:val="0"/>
        <w:snapToGrid w:val="0"/>
        <w:spacing w:line="360" w:lineRule="auto"/>
        <w:ind w:left="10" w:right="80" w:firstLine="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14.1.3</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本项目实行全流程电子化招标投标，投标人在交易平台按要求上传加盖电子印章并经加密的电子投标文件，并在交易平台录入准确的页码信息即可完成在线投标</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8B8154E">
      <w:pPr>
        <w:keepNext w:val="0"/>
        <w:keepLines w:val="0"/>
        <w:pageBreakBefore w:val="0"/>
        <w:kinsoku/>
        <w:wordWrap w:val="0"/>
        <w:overflowPunct/>
        <w:topLinePunct/>
        <w:bidi w:val="0"/>
        <w:snapToGrid w:val="0"/>
        <w:spacing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14.2  </w:t>
      </w:r>
      <w:r>
        <w:rPr>
          <w:rFonts w:hint="eastAsia" w:ascii="宋体" w:hAnsi="宋体" w:eastAsia="宋体" w:cs="宋体"/>
          <w:color w:val="auto"/>
          <w:spacing w:val="0"/>
          <w:sz w:val="24"/>
          <w:szCs w:val="24"/>
          <w:highlight w:val="none"/>
        </w:rPr>
        <w:t>开标程序</w:t>
      </w:r>
    </w:p>
    <w:p w14:paraId="50854D3A">
      <w:pPr>
        <w:keepNext w:val="0"/>
        <w:keepLines w:val="0"/>
        <w:pageBreakBefore w:val="0"/>
        <w:kinsoku/>
        <w:wordWrap w:val="0"/>
        <w:overflowPunct/>
        <w:topLinePunct/>
        <w:bidi w:val="0"/>
        <w:snapToGrid w:val="0"/>
        <w:spacing w:line="360" w:lineRule="auto"/>
        <w:ind w:left="501"/>
        <w:outlineLvl w:val="9"/>
        <w:rPr>
          <w:rFonts w:hint="eastAsia" w:ascii="宋体" w:hAnsi="宋体" w:eastAsia="宋体" w:cs="宋体"/>
          <w:color w:val="auto"/>
          <w:spacing w:val="0"/>
          <w:sz w:val="24"/>
          <w:szCs w:val="24"/>
          <w:highlight w:val="none"/>
        </w:rPr>
      </w:pPr>
      <w:bookmarkStart w:id="55" w:name="_Toc10685"/>
      <w:bookmarkStart w:id="56" w:name="_Toc8314"/>
      <w:bookmarkStart w:id="57" w:name="_Toc10291"/>
      <w:bookmarkStart w:id="58" w:name="_Toc15587"/>
      <w:r>
        <w:rPr>
          <w:rFonts w:hint="eastAsia" w:ascii="宋体" w:hAnsi="宋体" w:eastAsia="宋体" w:cs="宋体"/>
          <w:color w:val="auto"/>
          <w:spacing w:val="0"/>
          <w:sz w:val="24"/>
          <w:szCs w:val="24"/>
          <w:highlight w:val="none"/>
        </w:rPr>
        <w:t>（1）主持人（招标人代表或招标人授权的招标代理机构人员）宣读开标纪律。</w:t>
      </w:r>
      <w:bookmarkEnd w:id="55"/>
      <w:bookmarkEnd w:id="56"/>
      <w:bookmarkEnd w:id="57"/>
      <w:bookmarkEnd w:id="58"/>
    </w:p>
    <w:p w14:paraId="1FAA8A47">
      <w:pPr>
        <w:keepNext w:val="0"/>
        <w:keepLines w:val="0"/>
        <w:pageBreakBefore w:val="0"/>
        <w:kinsoku/>
        <w:wordWrap w:val="0"/>
        <w:overflowPunct/>
        <w:topLinePunct/>
        <w:bidi w:val="0"/>
        <w:snapToGrid w:val="0"/>
        <w:spacing w:line="360" w:lineRule="auto"/>
        <w:ind w:left="501"/>
        <w:outlineLvl w:val="9"/>
        <w:rPr>
          <w:rFonts w:hint="eastAsia" w:ascii="宋体" w:hAnsi="宋体" w:eastAsia="宋体" w:cs="宋体"/>
          <w:color w:val="auto"/>
          <w:spacing w:val="0"/>
          <w:sz w:val="24"/>
          <w:szCs w:val="24"/>
          <w:highlight w:val="none"/>
        </w:rPr>
      </w:pPr>
      <w:bookmarkStart w:id="59" w:name="_Toc20238"/>
      <w:bookmarkStart w:id="60" w:name="_Toc16292"/>
      <w:bookmarkStart w:id="61" w:name="_Toc30853"/>
      <w:bookmarkStart w:id="62" w:name="_Toc2011"/>
      <w:r>
        <w:rPr>
          <w:rFonts w:hint="eastAsia" w:ascii="宋体" w:hAnsi="宋体" w:eastAsia="宋体" w:cs="宋体"/>
          <w:color w:val="auto"/>
          <w:spacing w:val="0"/>
          <w:sz w:val="24"/>
          <w:szCs w:val="24"/>
          <w:highlight w:val="none"/>
        </w:rPr>
        <w:t>（2）主持人宣布唱标人、记录人、见证人、监督人等有关人员姓名。</w:t>
      </w:r>
      <w:bookmarkEnd w:id="59"/>
      <w:bookmarkEnd w:id="60"/>
      <w:bookmarkEnd w:id="61"/>
      <w:bookmarkEnd w:id="62"/>
    </w:p>
    <w:p w14:paraId="1AEF8807">
      <w:pPr>
        <w:keepNext w:val="0"/>
        <w:keepLines w:val="0"/>
        <w:pageBreakBefore w:val="0"/>
        <w:kinsoku/>
        <w:wordWrap w:val="0"/>
        <w:overflowPunct/>
        <w:topLinePunct/>
        <w:bidi w:val="0"/>
        <w:snapToGrid w:val="0"/>
        <w:spacing w:line="360" w:lineRule="auto"/>
        <w:ind w:left="501"/>
        <w:outlineLvl w:val="9"/>
        <w:rPr>
          <w:rFonts w:hint="eastAsia" w:ascii="宋体" w:hAnsi="宋体" w:eastAsia="宋体" w:cs="宋体"/>
          <w:color w:val="auto"/>
          <w:spacing w:val="0"/>
          <w:sz w:val="24"/>
          <w:szCs w:val="24"/>
          <w:highlight w:val="none"/>
        </w:rPr>
      </w:pPr>
      <w:bookmarkStart w:id="63" w:name="_Toc31716"/>
      <w:bookmarkStart w:id="64" w:name="_Toc1974"/>
      <w:bookmarkStart w:id="65" w:name="_Toc17462"/>
      <w:bookmarkStart w:id="66" w:name="_Toc26494"/>
      <w:r>
        <w:rPr>
          <w:rFonts w:hint="eastAsia" w:ascii="宋体" w:hAnsi="宋体" w:eastAsia="宋体" w:cs="宋体"/>
          <w:color w:val="auto"/>
          <w:spacing w:val="0"/>
          <w:sz w:val="24"/>
          <w:szCs w:val="24"/>
          <w:highlight w:val="none"/>
        </w:rPr>
        <w:t>（3）唱标人公布在投标截止时间前进行投标文件的投标人数量和名称</w:t>
      </w:r>
      <w:bookmarkEnd w:id="63"/>
      <w:bookmarkEnd w:id="64"/>
      <w:bookmarkEnd w:id="65"/>
      <w:bookmarkEnd w:id="66"/>
    </w:p>
    <w:p w14:paraId="6B59E2F8">
      <w:pPr>
        <w:keepNext w:val="0"/>
        <w:keepLines w:val="0"/>
        <w:pageBreakBefore w:val="0"/>
        <w:kinsoku/>
        <w:wordWrap w:val="0"/>
        <w:overflowPunct/>
        <w:topLinePunct/>
        <w:bidi w:val="0"/>
        <w:snapToGrid w:val="0"/>
        <w:spacing w:line="360" w:lineRule="auto"/>
        <w:ind w:left="501"/>
        <w:outlineLvl w:val="9"/>
        <w:rPr>
          <w:rFonts w:hint="eastAsia" w:ascii="宋体" w:hAnsi="宋体" w:eastAsia="宋体" w:cs="宋体"/>
          <w:color w:val="auto"/>
          <w:spacing w:val="0"/>
          <w:sz w:val="24"/>
          <w:szCs w:val="24"/>
          <w:highlight w:val="none"/>
        </w:rPr>
      </w:pPr>
      <w:bookmarkStart w:id="67" w:name="_Toc27967"/>
      <w:bookmarkStart w:id="68" w:name="_Toc8179"/>
      <w:bookmarkStart w:id="69" w:name="_Toc20559"/>
      <w:bookmarkStart w:id="70" w:name="_Toc15860"/>
      <w:r>
        <w:rPr>
          <w:rFonts w:hint="eastAsia" w:ascii="宋体" w:hAnsi="宋体" w:eastAsia="宋体" w:cs="宋体"/>
          <w:color w:val="auto"/>
          <w:spacing w:val="0"/>
          <w:sz w:val="24"/>
          <w:szCs w:val="24"/>
          <w:highlight w:val="none"/>
        </w:rPr>
        <w:t>（4）招标代理机构会同交易场所工作人员对投标人的电子投标信息进行解密，</w:t>
      </w:r>
      <w:bookmarkEnd w:id="67"/>
      <w:bookmarkEnd w:id="68"/>
      <w:bookmarkEnd w:id="69"/>
      <w:bookmarkEnd w:id="70"/>
    </w:p>
    <w:p w14:paraId="3D4D2EB3">
      <w:pPr>
        <w:keepNext w:val="0"/>
        <w:keepLines w:val="0"/>
        <w:pageBreakBefore w:val="0"/>
        <w:kinsoku/>
        <w:wordWrap w:val="0"/>
        <w:overflowPunct/>
        <w:topLinePunct/>
        <w:bidi w:val="0"/>
        <w:snapToGrid w:val="0"/>
        <w:spacing w:line="36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建设工程交易系统自动生成《投标保证缴纳情况表》和《开标一览表》。</w:t>
      </w:r>
    </w:p>
    <w:p w14:paraId="0175B3C1">
      <w:pPr>
        <w:keepNext w:val="0"/>
        <w:keepLines w:val="0"/>
        <w:pageBreakBefore w:val="0"/>
        <w:kinsoku/>
        <w:wordWrap w:val="0"/>
        <w:overflowPunct/>
        <w:topLinePunct/>
        <w:bidi w:val="0"/>
        <w:snapToGrid w:val="0"/>
        <w:spacing w:line="360" w:lineRule="auto"/>
        <w:ind w:firstLine="482" w:firstLineChars="200"/>
        <w:outlineLvl w:val="9"/>
        <w:rPr>
          <w:rFonts w:hint="eastAsia" w:ascii="宋体" w:hAnsi="宋体" w:eastAsia="宋体" w:cs="宋体"/>
          <w:color w:val="auto"/>
          <w:spacing w:val="0"/>
          <w:sz w:val="24"/>
          <w:szCs w:val="24"/>
          <w:highlight w:val="none"/>
        </w:rPr>
      </w:pPr>
      <w:bookmarkStart w:id="71" w:name="_Toc2199"/>
      <w:bookmarkStart w:id="72" w:name="_Toc28812"/>
      <w:bookmarkStart w:id="73" w:name="_Toc28266"/>
      <w:bookmarkStart w:id="74" w:name="_Toc26216"/>
      <w:r>
        <w:rPr>
          <w:rFonts w:hint="eastAsia" w:ascii="宋体" w:hAnsi="宋体" w:eastAsia="宋体" w:cs="宋体"/>
          <w:b/>
          <w:bCs/>
          <w:color w:val="auto"/>
          <w:spacing w:val="0"/>
          <w:sz w:val="24"/>
          <w:szCs w:val="24"/>
          <w:highlight w:val="none"/>
        </w:rPr>
        <w:t>温馨提示：因本项目实行全流程电子化招标投标，投标人无须进行现场签到，可</w:t>
      </w:r>
      <w:bookmarkEnd w:id="71"/>
      <w:bookmarkEnd w:id="72"/>
      <w:bookmarkEnd w:id="73"/>
      <w:r>
        <w:rPr>
          <w:rFonts w:hint="eastAsia" w:ascii="宋体" w:hAnsi="宋体" w:eastAsia="宋体" w:cs="宋体"/>
          <w:b/>
          <w:bCs/>
          <w:color w:val="auto"/>
          <w:spacing w:val="0"/>
          <w:sz w:val="24"/>
          <w:szCs w:val="24"/>
          <w:highlight w:val="none"/>
        </w:rPr>
        <w:t>登录交易平台观看开标实况、提出异议或进行澄清、确认等操作，对开标事项的异议未在开标期间提出的，招标</w:t>
      </w:r>
      <w:r>
        <w:rPr>
          <w:rFonts w:hint="eastAsia" w:ascii="宋体" w:hAnsi="宋体" w:eastAsia="宋体" w:cs="宋体"/>
          <w:b/>
          <w:bCs/>
          <w:color w:val="auto"/>
          <w:spacing w:val="0"/>
          <w:sz w:val="24"/>
          <w:szCs w:val="24"/>
          <w:highlight w:val="none"/>
          <w:lang w:eastAsia="zh-CN"/>
        </w:rPr>
        <w:t>人不</w:t>
      </w:r>
      <w:r>
        <w:rPr>
          <w:rFonts w:hint="eastAsia" w:ascii="宋体" w:hAnsi="宋体" w:eastAsia="宋体" w:cs="宋体"/>
          <w:b/>
          <w:bCs/>
          <w:color w:val="auto"/>
          <w:spacing w:val="0"/>
          <w:sz w:val="24"/>
          <w:szCs w:val="24"/>
          <w:highlight w:val="none"/>
        </w:rPr>
        <w:t>予受理。具体按招标文件和系统操作手册为准。</w:t>
      </w:r>
      <w:bookmarkEnd w:id="74"/>
    </w:p>
    <w:p w14:paraId="74C9CA16">
      <w:pPr>
        <w:keepNext w:val="0"/>
        <w:keepLines w:val="0"/>
        <w:pageBreakBefore w:val="0"/>
        <w:kinsoku/>
        <w:wordWrap w:val="0"/>
        <w:overflowPunct/>
        <w:topLinePunct/>
        <w:bidi w:val="0"/>
        <w:snapToGrid w:val="0"/>
        <w:spacing w:line="360" w:lineRule="auto"/>
        <w:ind w:left="11" w:right="80"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14.3  </w:t>
      </w:r>
      <w:r>
        <w:rPr>
          <w:rFonts w:hint="eastAsia" w:ascii="宋体" w:hAnsi="宋体" w:eastAsia="宋体" w:cs="宋体"/>
          <w:color w:val="auto"/>
          <w:spacing w:val="0"/>
          <w:sz w:val="24"/>
          <w:szCs w:val="24"/>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5F8E9D2C">
      <w:pPr>
        <w:keepNext w:val="0"/>
        <w:keepLines w:val="0"/>
        <w:pageBreakBefore w:val="0"/>
        <w:kinsoku/>
        <w:wordWrap w:val="0"/>
        <w:overflowPunct/>
        <w:topLinePunct/>
        <w:bidi w:val="0"/>
        <w:snapToGrid w:val="0"/>
        <w:spacing w:line="360" w:lineRule="auto"/>
        <w:ind w:left="8" w:right="82"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14.4 </w:t>
      </w:r>
      <w:r>
        <w:rPr>
          <w:rFonts w:hint="eastAsia" w:ascii="宋体" w:hAnsi="宋体" w:eastAsia="宋体" w:cs="宋体"/>
          <w:color w:val="auto"/>
          <w:spacing w:val="0"/>
          <w:sz w:val="24"/>
          <w:szCs w:val="24"/>
          <w:highlight w:val="none"/>
        </w:rPr>
        <w:t>招标代理机构将资料原件（如有）、《开标一览表》以及其他有关资料移交评标委员会。</w:t>
      </w:r>
    </w:p>
    <w:p w14:paraId="13F74F1D">
      <w:pPr>
        <w:keepNext w:val="0"/>
        <w:keepLines w:val="0"/>
        <w:pageBreakBefore w:val="0"/>
        <w:kinsoku/>
        <w:wordWrap w:val="0"/>
        <w:overflowPunct/>
        <w:topLinePunct/>
        <w:bidi w:val="0"/>
        <w:snapToGrid w:val="0"/>
        <w:spacing w:line="360" w:lineRule="auto"/>
        <w:ind w:left="496"/>
        <w:outlineLvl w:val="3"/>
        <w:rPr>
          <w:rFonts w:hint="eastAsia" w:ascii="宋体" w:hAnsi="宋体" w:eastAsia="宋体" w:cs="宋体"/>
          <w:b/>
          <w:bCs/>
          <w:color w:val="auto"/>
          <w:spacing w:val="0"/>
          <w:sz w:val="24"/>
          <w:szCs w:val="24"/>
          <w:highlight w:val="none"/>
        </w:rPr>
      </w:pPr>
      <w:bookmarkStart w:id="75" w:name="_Toc961"/>
    </w:p>
    <w:p w14:paraId="38854D87">
      <w:pPr>
        <w:keepNext w:val="0"/>
        <w:keepLines w:val="0"/>
        <w:pageBreakBefore w:val="0"/>
        <w:kinsoku/>
        <w:wordWrap w:val="0"/>
        <w:overflowPunct/>
        <w:topLinePunct/>
        <w:bidi w:val="0"/>
        <w:snapToGrid w:val="0"/>
        <w:spacing w:line="360" w:lineRule="auto"/>
        <w:ind w:left="496"/>
        <w:outlineLvl w:val="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15 ．评标</w:t>
      </w:r>
      <w:bookmarkEnd w:id="75"/>
    </w:p>
    <w:p w14:paraId="4371C86B">
      <w:pPr>
        <w:keepNext w:val="0"/>
        <w:keepLines w:val="0"/>
        <w:pageBreakBefore w:val="0"/>
        <w:kinsoku/>
        <w:wordWrap w:val="0"/>
        <w:overflowPunct/>
        <w:topLinePunct/>
        <w:bidi w:val="0"/>
        <w:snapToGrid w:val="0"/>
        <w:spacing w:line="360" w:lineRule="auto"/>
        <w:ind w:left="8" w:right="65" w:firstLine="480"/>
        <w:rPr>
          <w:rFonts w:hint="eastAsia" w:ascii="宋体" w:hAnsi="宋体" w:eastAsia="宋体" w:cs="宋体"/>
          <w:color w:val="auto"/>
          <w:spacing w:val="0"/>
          <w:sz w:val="24"/>
          <w:szCs w:val="24"/>
          <w:highlight w:val="none"/>
        </w:rPr>
      </w:pPr>
      <w:bookmarkStart w:id="76" w:name="bookmark124"/>
      <w:bookmarkEnd w:id="76"/>
      <w:r>
        <w:rPr>
          <w:rFonts w:hint="eastAsia" w:ascii="宋体" w:hAnsi="宋体" w:eastAsia="宋体" w:cs="宋体"/>
          <w:color w:val="auto"/>
          <w:spacing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b/>
          <w:bCs/>
          <w:color w:val="auto"/>
          <w:spacing w:val="0"/>
          <w:sz w:val="24"/>
          <w:szCs w:val="24"/>
          <w:highlight w:val="none"/>
          <w:u w:val="single"/>
          <w:lang w:val="en-US" w:eastAsia="zh-CN"/>
        </w:rPr>
        <w:t>5</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个</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标候选人</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如不足5个，则往下递减，但不可少于3个</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，并向招标人提交由全体评标委员会成员签字的评标报告。</w:t>
      </w:r>
    </w:p>
    <w:p w14:paraId="61013EAF">
      <w:pPr>
        <w:keepNext w:val="0"/>
        <w:keepLines w:val="0"/>
        <w:pageBreakBefore w:val="0"/>
        <w:kinsoku/>
        <w:wordWrap w:val="0"/>
        <w:overflowPunct/>
        <w:topLinePunct/>
        <w:bidi w:val="0"/>
        <w:snapToGrid w:val="0"/>
        <w:spacing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  </w:t>
      </w:r>
      <w:r>
        <w:rPr>
          <w:rFonts w:hint="eastAsia" w:ascii="宋体" w:hAnsi="宋体" w:eastAsia="宋体" w:cs="宋体"/>
          <w:color w:val="auto"/>
          <w:spacing w:val="0"/>
          <w:sz w:val="24"/>
          <w:szCs w:val="24"/>
          <w:highlight w:val="none"/>
        </w:rPr>
        <w:t>评标委员会</w:t>
      </w:r>
    </w:p>
    <w:p w14:paraId="64E52385">
      <w:pPr>
        <w:keepNext w:val="0"/>
        <w:keepLines w:val="0"/>
        <w:pageBreakBefore w:val="0"/>
        <w:kinsoku/>
        <w:wordWrap w:val="0"/>
        <w:overflowPunct/>
        <w:topLinePunct/>
        <w:bidi w:val="0"/>
        <w:snapToGrid w:val="0"/>
        <w:spacing w:line="360" w:lineRule="auto"/>
        <w:ind w:left="10" w:right="65"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15.1.1 </w:t>
      </w:r>
      <w:r>
        <w:rPr>
          <w:rFonts w:hint="eastAsia" w:ascii="宋体" w:hAnsi="宋体" w:eastAsia="宋体" w:cs="宋体"/>
          <w:color w:val="auto"/>
          <w:spacing w:val="0"/>
          <w:sz w:val="24"/>
          <w:szCs w:val="24"/>
          <w:highlight w:val="none"/>
        </w:rPr>
        <w:t>评标委员会由</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人组成，其中招标人代表</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1</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人，专家</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4</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人。专家从</w:t>
      </w:r>
      <w:r>
        <w:rPr>
          <w:rFonts w:hint="eastAsia" w:ascii="宋体" w:hAnsi="宋体" w:eastAsia="宋体" w:cs="宋体"/>
          <w:color w:val="auto"/>
          <w:spacing w:val="0"/>
          <w:sz w:val="24"/>
          <w:szCs w:val="24"/>
          <w:highlight w:val="none"/>
          <w:u w:val="none"/>
        </w:rPr>
        <w:t>广东省综合评标评审专家库</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rPr>
        <w:t>韶关区域</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rPr>
        <w:t>中随机抽取，其中技术类专家</w:t>
      </w:r>
      <w:r>
        <w:rPr>
          <w:rFonts w:hint="eastAsia" w:ascii="宋体" w:hAnsi="宋体" w:eastAsia="宋体" w:cs="宋体"/>
          <w:color w:val="auto"/>
          <w:spacing w:val="0"/>
          <w:sz w:val="24"/>
          <w:szCs w:val="24"/>
          <w:highlight w:val="none"/>
          <w:u w:val="single"/>
        </w:rPr>
        <w:t xml:space="preserve"> 3 </w:t>
      </w:r>
      <w:r>
        <w:rPr>
          <w:rFonts w:hint="eastAsia" w:ascii="宋体" w:hAnsi="宋体" w:eastAsia="宋体" w:cs="宋体"/>
          <w:color w:val="auto"/>
          <w:spacing w:val="0"/>
          <w:sz w:val="24"/>
          <w:szCs w:val="24"/>
          <w:highlight w:val="none"/>
        </w:rPr>
        <w:t>人，经济类专家</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1</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人。评标委员会设负责人，由评标委员会成员推举产生。评标委员会负责人与评标委员会的其他成员有同等的表决权。</w:t>
      </w:r>
    </w:p>
    <w:p w14:paraId="1DDA47D1">
      <w:pPr>
        <w:keepNext w:val="0"/>
        <w:keepLines w:val="0"/>
        <w:pageBreakBefore w:val="0"/>
        <w:kinsoku/>
        <w:wordWrap w:val="0"/>
        <w:overflowPunct/>
        <w:topLinePunct/>
        <w:bidi w:val="0"/>
        <w:snapToGrid w:val="0"/>
        <w:spacing w:line="360" w:lineRule="auto"/>
        <w:ind w:left="13" w:right="7" w:firstLine="56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15.1.2 </w:t>
      </w:r>
      <w:r>
        <w:rPr>
          <w:rFonts w:hint="eastAsia" w:ascii="宋体" w:hAnsi="宋体" w:eastAsia="宋体" w:cs="宋体"/>
          <w:color w:val="auto"/>
          <w:spacing w:val="0"/>
          <w:sz w:val="24"/>
          <w:szCs w:val="24"/>
          <w:highlight w:val="none"/>
        </w:rPr>
        <w:t>评标委员会应认真、公正、诚实、廉洁地履行职责。有下列情形之一的，不得担任评标委员会成员：</w:t>
      </w:r>
    </w:p>
    <w:p w14:paraId="18B95015">
      <w:pPr>
        <w:keepNext w:val="0"/>
        <w:keepLines w:val="0"/>
        <w:pageBreakBefore w:val="0"/>
        <w:kinsoku/>
        <w:wordWrap w:val="0"/>
        <w:overflowPunct/>
        <w:topLinePunct/>
        <w:bidi w:val="0"/>
        <w:snapToGrid w:val="0"/>
        <w:spacing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（1）投标人或投标人主要负责人的近亲属；</w:t>
      </w:r>
    </w:p>
    <w:p w14:paraId="37361B2E">
      <w:pPr>
        <w:keepNext w:val="0"/>
        <w:keepLines w:val="0"/>
        <w:pageBreakBefore w:val="0"/>
        <w:kinsoku/>
        <w:wordWrap w:val="0"/>
        <w:overflowPunct/>
        <w:topLinePunct/>
        <w:bidi w:val="0"/>
        <w:snapToGrid w:val="0"/>
        <w:spacing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（2）项目主管部门或者行政监督部门的人员；</w:t>
      </w:r>
    </w:p>
    <w:p w14:paraId="47F55DA8">
      <w:pPr>
        <w:keepNext w:val="0"/>
        <w:keepLines w:val="0"/>
        <w:pageBreakBefore w:val="0"/>
        <w:kinsoku/>
        <w:wordWrap w:val="0"/>
        <w:overflowPunct/>
        <w:topLinePunct/>
        <w:bidi w:val="0"/>
        <w:snapToGrid w:val="0"/>
        <w:spacing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（3）与投标人有经济利益关系，可能影响对投标公正评审的；</w:t>
      </w:r>
    </w:p>
    <w:p w14:paraId="77B3FF9B">
      <w:pPr>
        <w:keepNext w:val="0"/>
        <w:keepLines w:val="0"/>
        <w:pageBreakBefore w:val="0"/>
        <w:kinsoku/>
        <w:wordWrap w:val="0"/>
        <w:overflowPunct/>
        <w:topLinePunct/>
        <w:bidi w:val="0"/>
        <w:snapToGrid w:val="0"/>
        <w:spacing w:line="360" w:lineRule="auto"/>
        <w:ind w:left="8" w:right="65" w:firstLine="57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（4）曾因在招标、评标以及其他与招标投标有关活动中从事违法行为而受过行政处罚或刑事处罚的。</w:t>
      </w:r>
    </w:p>
    <w:p w14:paraId="5A4BC63C">
      <w:pPr>
        <w:keepNext w:val="0"/>
        <w:keepLines w:val="0"/>
        <w:pageBreakBefore w:val="0"/>
        <w:kinsoku/>
        <w:wordWrap w:val="0"/>
        <w:overflowPunct/>
        <w:topLinePunct/>
        <w:bidi w:val="0"/>
        <w:snapToGrid w:val="0"/>
        <w:spacing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评标委员会成员有以上情形之一的，应主动提出回避。</w:t>
      </w:r>
    </w:p>
    <w:p w14:paraId="50941273">
      <w:pPr>
        <w:keepNext w:val="0"/>
        <w:keepLines w:val="0"/>
        <w:pageBreakBefore w:val="0"/>
        <w:kinsoku/>
        <w:wordWrap w:val="0"/>
        <w:overflowPunct/>
        <w:topLinePunct/>
        <w:bidi w:val="0"/>
        <w:snapToGrid w:val="0"/>
        <w:spacing w:line="360" w:lineRule="auto"/>
        <w:ind w:left="8" w:right="6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15.1.3  </w:t>
      </w:r>
      <w:r>
        <w:rPr>
          <w:rFonts w:hint="eastAsia" w:ascii="宋体" w:hAnsi="宋体" w:eastAsia="宋体" w:cs="宋体"/>
          <w:color w:val="auto"/>
          <w:spacing w:val="0"/>
          <w:sz w:val="24"/>
          <w:szCs w:val="24"/>
          <w:highlight w:val="none"/>
        </w:rPr>
        <w:t>评标全过程实行封闭式管理，在中标结果公布前，禁止评标委员会成员以任何方式私下接触投标人。</w:t>
      </w:r>
    </w:p>
    <w:p w14:paraId="054B7529">
      <w:pPr>
        <w:keepNext w:val="0"/>
        <w:keepLines w:val="0"/>
        <w:pageBreakBefore w:val="0"/>
        <w:kinsoku/>
        <w:wordWrap w:val="0"/>
        <w:overflowPunct/>
        <w:topLinePunct/>
        <w:bidi w:val="0"/>
        <w:snapToGrid w:val="0"/>
        <w:spacing w:line="360" w:lineRule="auto"/>
        <w:ind w:left="11" w:right="65"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15.1.4  </w:t>
      </w:r>
      <w:r>
        <w:rPr>
          <w:rFonts w:hint="eastAsia" w:ascii="宋体" w:hAnsi="宋体" w:eastAsia="宋体" w:cs="宋体"/>
          <w:color w:val="auto"/>
          <w:spacing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24776D4A">
      <w:pPr>
        <w:keepNext w:val="0"/>
        <w:keepLines w:val="0"/>
        <w:pageBreakBefore w:val="0"/>
        <w:kinsoku/>
        <w:wordWrap w:val="0"/>
        <w:overflowPunct/>
        <w:topLinePunct/>
        <w:bidi w:val="0"/>
        <w:snapToGrid w:val="0"/>
        <w:spacing w:line="360" w:lineRule="auto"/>
        <w:ind w:left="8" w:right="65" w:firstLine="56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15.1.5  </w:t>
      </w:r>
      <w:r>
        <w:rPr>
          <w:rFonts w:hint="eastAsia" w:ascii="宋体" w:hAnsi="宋体" w:eastAsia="宋体" w:cs="宋体"/>
          <w:color w:val="auto"/>
          <w:spacing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927F2C0">
      <w:pPr>
        <w:keepNext w:val="0"/>
        <w:keepLines w:val="0"/>
        <w:pageBreakBefore w:val="0"/>
        <w:kinsoku/>
        <w:wordWrap w:val="0"/>
        <w:overflowPunct/>
        <w:topLinePunct/>
        <w:bidi w:val="0"/>
        <w:snapToGrid w:val="0"/>
        <w:spacing w:line="360" w:lineRule="auto"/>
        <w:ind w:left="5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15.2  </w:t>
      </w:r>
      <w:r>
        <w:rPr>
          <w:rFonts w:hint="eastAsia" w:ascii="宋体" w:hAnsi="宋体" w:eastAsia="宋体" w:cs="宋体"/>
          <w:color w:val="auto"/>
          <w:spacing w:val="0"/>
          <w:sz w:val="24"/>
          <w:szCs w:val="24"/>
          <w:highlight w:val="none"/>
        </w:rPr>
        <w:t>评标方法</w:t>
      </w:r>
    </w:p>
    <w:p w14:paraId="2263AE75">
      <w:pPr>
        <w:keepNext w:val="0"/>
        <w:keepLines w:val="0"/>
        <w:pageBreakBefore w:val="0"/>
        <w:kinsoku/>
        <w:wordWrap w:val="0"/>
        <w:overflowPunct/>
        <w:topLinePunct/>
        <w:bidi w:val="0"/>
        <w:snapToGrid w:val="0"/>
        <w:spacing w:line="360" w:lineRule="auto"/>
        <w:ind w:left="231" w:right="181" w:firstLine="560"/>
        <w:rPr>
          <w:rFonts w:hint="eastAsia" w:ascii="宋体" w:hAnsi="宋体" w:eastAsia="宋体" w:cs="宋体"/>
          <w:color w:val="auto"/>
          <w:spacing w:val="0"/>
          <w:sz w:val="24"/>
          <w:szCs w:val="24"/>
          <w:highlight w:val="none"/>
        </w:rPr>
      </w:pPr>
      <w:bookmarkStart w:id="77" w:name="bookmark125"/>
      <w:bookmarkEnd w:id="77"/>
      <w:r>
        <w:rPr>
          <w:rFonts w:hint="eastAsia" w:ascii="宋体" w:hAnsi="宋体" w:eastAsia="宋体" w:cs="宋体"/>
          <w:color w:val="auto"/>
          <w:spacing w:val="0"/>
          <w:sz w:val="24"/>
          <w:szCs w:val="24"/>
          <w:highlight w:val="none"/>
        </w:rPr>
        <w:t>根据有关法律、法规的相关规定，结合本招标项目资金来源和规模特点，本次招标采用</w:t>
      </w:r>
      <w:r>
        <w:rPr>
          <w:rFonts w:hint="eastAsia" w:ascii="宋体" w:hAnsi="宋体" w:eastAsia="宋体" w:cs="宋体"/>
          <w:b/>
          <w:bCs/>
          <w:color w:val="auto"/>
          <w:spacing w:val="0"/>
          <w:sz w:val="24"/>
          <w:szCs w:val="24"/>
          <w:highlight w:val="none"/>
          <w:u w:val="single"/>
        </w:rPr>
        <w:t xml:space="preserve"> 综合评估法 </w:t>
      </w:r>
      <w:r>
        <w:rPr>
          <w:rFonts w:hint="eastAsia" w:ascii="宋体" w:hAnsi="宋体" w:eastAsia="宋体" w:cs="宋体"/>
          <w:color w:val="auto"/>
          <w:spacing w:val="0"/>
          <w:sz w:val="24"/>
          <w:szCs w:val="24"/>
          <w:highlight w:val="none"/>
          <w:u w:val="single"/>
        </w:rPr>
        <w:t>（</w:t>
      </w:r>
      <w:r>
        <w:rPr>
          <w:rFonts w:hint="eastAsia" w:ascii="宋体" w:hAnsi="宋体" w:eastAsia="宋体" w:cs="宋体"/>
          <w:color w:val="auto"/>
          <w:spacing w:val="0"/>
          <w:sz w:val="24"/>
          <w:szCs w:val="24"/>
          <w:highlight w:val="none"/>
        </w:rPr>
        <w:t>评标方法名称）进行评标。</w:t>
      </w:r>
    </w:p>
    <w:p w14:paraId="17A61778">
      <w:pPr>
        <w:keepNext w:val="0"/>
        <w:keepLines w:val="0"/>
        <w:pageBreakBefore w:val="0"/>
        <w:kinsoku/>
        <w:wordWrap w:val="0"/>
        <w:overflowPunct/>
        <w:topLinePunct/>
        <w:bidi w:val="0"/>
        <w:snapToGrid w:val="0"/>
        <w:spacing w:line="360" w:lineRule="auto"/>
        <w:ind w:left="220" w:right="33" w:firstLine="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15.3  </w:t>
      </w:r>
      <w:r>
        <w:rPr>
          <w:rFonts w:hint="eastAsia" w:ascii="宋体" w:hAnsi="宋体" w:eastAsia="宋体" w:cs="宋体"/>
          <w:color w:val="auto"/>
          <w:spacing w:val="0"/>
          <w:sz w:val="24"/>
          <w:szCs w:val="24"/>
          <w:highlight w:val="none"/>
        </w:rPr>
        <w:t>评审范围：评标委员会应对所有投标人的投标文件进行评审。</w:t>
      </w:r>
    </w:p>
    <w:p w14:paraId="4D9C5314">
      <w:pPr>
        <w:keepNext w:val="0"/>
        <w:keepLines w:val="0"/>
        <w:pageBreakBefore w:val="0"/>
        <w:kinsoku/>
        <w:wordWrap w:val="0"/>
        <w:overflowPunct/>
        <w:topLinePunct/>
        <w:bidi w:val="0"/>
        <w:snapToGrid w:val="0"/>
        <w:spacing w:line="360" w:lineRule="auto"/>
        <w:ind w:left="71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  </w:t>
      </w:r>
      <w:r>
        <w:rPr>
          <w:rFonts w:hint="eastAsia" w:ascii="宋体" w:hAnsi="宋体" w:eastAsia="宋体" w:cs="宋体"/>
          <w:color w:val="auto"/>
          <w:spacing w:val="0"/>
          <w:sz w:val="24"/>
          <w:szCs w:val="24"/>
          <w:highlight w:val="none"/>
        </w:rPr>
        <w:t>初步评审阶段</w:t>
      </w:r>
    </w:p>
    <w:p w14:paraId="3ED048DD">
      <w:pPr>
        <w:keepNext w:val="0"/>
        <w:keepLines w:val="0"/>
        <w:pageBreakBefore w:val="0"/>
        <w:kinsoku/>
        <w:wordWrap w:val="0"/>
        <w:overflowPunct/>
        <w:topLinePunct/>
        <w:bidi w:val="0"/>
        <w:snapToGrid w:val="0"/>
        <w:spacing w:line="360" w:lineRule="auto"/>
        <w:ind w:left="70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初步评审阶段分为资格评审、形式评审和响应性评审三个环节。</w:t>
      </w:r>
    </w:p>
    <w:p w14:paraId="0642B7EC">
      <w:pPr>
        <w:keepNext w:val="0"/>
        <w:keepLines w:val="0"/>
        <w:pageBreakBefore w:val="0"/>
        <w:tabs>
          <w:tab w:val="left" w:pos="3360"/>
        </w:tabs>
        <w:kinsoku/>
        <w:wordWrap w:val="0"/>
        <w:overflowPunct/>
        <w:topLinePunct/>
        <w:bidi w:val="0"/>
        <w:snapToGrid w:val="0"/>
        <w:spacing w:line="360" w:lineRule="auto"/>
        <w:ind w:left="719" w:right="6040" w:rightChars="0" w:hanging="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15.4.1 </w:t>
      </w:r>
      <w:r>
        <w:rPr>
          <w:rFonts w:hint="eastAsia" w:ascii="宋体" w:hAnsi="宋体" w:eastAsia="宋体" w:cs="宋体"/>
          <w:color w:val="auto"/>
          <w:spacing w:val="0"/>
          <w:sz w:val="24"/>
          <w:szCs w:val="24"/>
          <w:highlight w:val="none"/>
        </w:rPr>
        <w:t xml:space="preserve"> 资格评审环节 资格评审事项</w:t>
      </w:r>
      <w:r>
        <w:rPr>
          <w:rFonts w:hint="eastAsia" w:ascii="宋体" w:hAnsi="宋体" w:eastAsia="宋体" w:cs="宋体"/>
          <w:color w:val="auto"/>
          <w:spacing w:val="0"/>
          <w:sz w:val="24"/>
          <w:szCs w:val="24"/>
          <w:highlight w:val="none"/>
          <w:lang w:val="en-US" w:eastAsia="zh-CN"/>
        </w:rPr>
        <w:t>包括</w:t>
      </w:r>
      <w:r>
        <w:rPr>
          <w:rFonts w:hint="eastAsia" w:ascii="宋体" w:hAnsi="宋体" w:eastAsia="宋体" w:cs="宋体"/>
          <w:color w:val="auto"/>
          <w:spacing w:val="0"/>
          <w:sz w:val="24"/>
          <w:szCs w:val="24"/>
          <w:highlight w:val="none"/>
        </w:rPr>
        <w:t>：</w:t>
      </w:r>
    </w:p>
    <w:p w14:paraId="7A5D3FE2">
      <w:pPr>
        <w:keepNext w:val="0"/>
        <w:keepLines w:val="0"/>
        <w:pageBreakBefore w:val="0"/>
        <w:kinsoku/>
        <w:wordWrap w:val="0"/>
        <w:overflowPunct/>
        <w:topLinePunct/>
        <w:bidi w:val="0"/>
        <w:snapToGrid w:val="0"/>
        <w:spacing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（1）投标人是否符合本章第三节第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”规定。如果“禁止投标条款”包括失信惩戒的，投标人信用信息的获取采用现场实时查询的方式实施。由</w:t>
      </w:r>
      <w:r>
        <w:rPr>
          <w:rFonts w:hint="eastAsia" w:ascii="宋体" w:hAnsi="宋体" w:eastAsia="宋体" w:cs="宋体"/>
          <w:color w:val="auto"/>
          <w:spacing w:val="0"/>
          <w:sz w:val="24"/>
          <w:szCs w:val="24"/>
          <w:highlight w:val="none"/>
          <w:lang w:val="en-US" w:eastAsia="zh-CN"/>
        </w:rPr>
        <w:t>评标委员会</w:t>
      </w:r>
      <w:r>
        <w:rPr>
          <w:rFonts w:hint="eastAsia" w:ascii="宋体" w:hAnsi="宋体" w:eastAsia="宋体" w:cs="宋体"/>
          <w:color w:val="auto"/>
          <w:spacing w:val="0"/>
          <w:sz w:val="24"/>
          <w:szCs w:val="24"/>
          <w:highlight w:val="none"/>
        </w:rPr>
        <w:t xml:space="preserve">登录信用中国网站（https://www.creditchina.gov.cn），在企业查询界面下载和打印《法人和非法人组织公共信用信息报告》。 </w:t>
      </w:r>
    </w:p>
    <w:p w14:paraId="28E65D64">
      <w:pPr>
        <w:keepNext w:val="0"/>
        <w:keepLines w:val="0"/>
        <w:pageBreakBefore w:val="0"/>
        <w:kinsoku/>
        <w:wordWrap w:val="0"/>
        <w:overflowPunct/>
        <w:topLinePunct/>
        <w:bidi w:val="0"/>
        <w:snapToGrid w:val="0"/>
        <w:spacing w:line="360" w:lineRule="auto"/>
        <w:ind w:left="72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（2）投标人名称是否与营业执照、资质证书、安全生产许可证一致。</w:t>
      </w:r>
    </w:p>
    <w:p w14:paraId="77FD2AD7">
      <w:pPr>
        <w:keepNext w:val="0"/>
        <w:keepLines w:val="0"/>
        <w:pageBreakBefore w:val="0"/>
        <w:widowControl/>
        <w:kinsoku/>
        <w:wordWrap w:val="0"/>
        <w:overflowPunct/>
        <w:topLinePunct/>
        <w:autoSpaceDE w:val="0"/>
        <w:autoSpaceDN w:val="0"/>
        <w:bidi w:val="0"/>
        <w:adjustRightInd w:val="0"/>
        <w:snapToGrid w:val="0"/>
        <w:spacing w:line="360" w:lineRule="auto"/>
        <w:ind w:left="232" w:right="96"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（3）投标人的资质是否符合招标文件规定；其营业执照、资质证书、安全生产许可证（含实时网页查询页，可参考网址 https://zlaq.mohurd.gov.cn/fwmh/bjxcjgl/fwm</w:t>
      </w:r>
      <w:bookmarkStart w:id="78" w:name="bookmark126"/>
      <w:bookmarkEnd w:id="78"/>
      <w:r>
        <w:rPr>
          <w:rFonts w:hint="eastAsia" w:ascii="宋体" w:hAnsi="宋体" w:eastAsia="宋体" w:cs="宋体"/>
          <w:color w:val="auto"/>
          <w:spacing w:val="0"/>
          <w:position w:val="3"/>
          <w:sz w:val="24"/>
          <w:szCs w:val="24"/>
          <w:highlight w:val="none"/>
        </w:rPr>
        <w:t>h/pages/construction_safety/qyaqscxkz/qyaqscxkz）是否合法、有效、准确。</w:t>
      </w:r>
    </w:p>
    <w:p w14:paraId="3BF78F12">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（4）《项目经理简历表》中拟派项目经理是否与《开标一览表》一致。</w:t>
      </w:r>
    </w:p>
    <w:p w14:paraId="21CCC0F5">
      <w:pPr>
        <w:keepNext w:val="0"/>
        <w:keepLines w:val="0"/>
        <w:pageBreakBefore w:val="0"/>
        <w:kinsoku/>
        <w:wordWrap w:val="0"/>
        <w:overflowPunct/>
        <w:topLinePunct/>
        <w:bidi w:val="0"/>
        <w:snapToGrid w:val="0"/>
        <w:spacing w:line="360" w:lineRule="auto"/>
        <w:ind w:left="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63A9812C">
      <w:pPr>
        <w:keepNext w:val="0"/>
        <w:keepLines w:val="0"/>
        <w:pageBreakBefore w:val="0"/>
        <w:kinsoku/>
        <w:wordWrap w:val="0"/>
        <w:overflowPunct/>
        <w:topLinePunct/>
        <w:bidi w:val="0"/>
        <w:snapToGrid w:val="0"/>
        <w:spacing w:line="360" w:lineRule="auto"/>
        <w:ind w:left="8" w:right="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）投标人为外省建筑企业的，是否按规定在“进粤企业和人员诚信信息登记平台”录入企业及其拟派人员有关信息并通过数据规范检查。</w:t>
      </w:r>
    </w:p>
    <w:p w14:paraId="0FA4C6DD">
      <w:pPr>
        <w:keepNext w:val="0"/>
        <w:keepLines w:val="0"/>
        <w:pageBreakBefore w:val="0"/>
        <w:kinsoku/>
        <w:wordWrap w:val="0"/>
        <w:overflowPunct/>
        <w:topLinePunct/>
        <w:bidi w:val="0"/>
        <w:snapToGrid w:val="0"/>
        <w:spacing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79" w:name="_Toc22778"/>
      <w:r>
        <w:rPr>
          <w:rFonts w:hint="eastAsia" w:ascii="宋体" w:hAnsi="宋体" w:eastAsia="宋体" w:cs="宋体"/>
          <w:b/>
          <w:bCs/>
          <w:color w:val="auto"/>
          <w:spacing w:val="0"/>
          <w:sz w:val="24"/>
          <w:szCs w:val="24"/>
          <w:highlight w:val="none"/>
        </w:rPr>
        <w:t xml:space="preserve">15.4.2 </w:t>
      </w:r>
      <w:r>
        <w:rPr>
          <w:rFonts w:hint="eastAsia" w:ascii="宋体" w:hAnsi="宋体" w:eastAsia="宋体" w:cs="宋体"/>
          <w:color w:val="auto"/>
          <w:spacing w:val="0"/>
          <w:sz w:val="24"/>
          <w:szCs w:val="24"/>
          <w:highlight w:val="none"/>
        </w:rPr>
        <w:t xml:space="preserve"> 形式评审环节</w:t>
      </w:r>
    </w:p>
    <w:p w14:paraId="3FB67781">
      <w:pPr>
        <w:keepNext w:val="0"/>
        <w:keepLines w:val="0"/>
        <w:pageBreakBefore w:val="0"/>
        <w:kinsoku/>
        <w:wordWrap w:val="0"/>
        <w:overflowPunct/>
        <w:topLinePunct/>
        <w:bidi w:val="0"/>
        <w:snapToGrid w:val="0"/>
        <w:spacing w:line="360" w:lineRule="auto"/>
        <w:ind w:right="2" w:firstLine="480" w:firstLineChars="200"/>
        <w:jc w:val="both"/>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形式评审事</w:t>
      </w:r>
      <w:r>
        <w:rPr>
          <w:rFonts w:hint="eastAsia" w:ascii="宋体" w:hAnsi="宋体" w:eastAsia="宋体" w:cs="宋体"/>
          <w:color w:val="auto"/>
          <w:spacing w:val="0"/>
          <w:sz w:val="24"/>
          <w:szCs w:val="24"/>
          <w:highlight w:val="none"/>
          <w:lang w:eastAsia="zh-CN"/>
        </w:rPr>
        <w:t>项包括</w:t>
      </w:r>
      <w:bookmarkEnd w:id="79"/>
      <w:r>
        <w:rPr>
          <w:rFonts w:hint="eastAsia" w:ascii="宋体" w:hAnsi="宋体" w:eastAsia="宋体" w:cs="宋体"/>
          <w:color w:val="auto"/>
          <w:spacing w:val="0"/>
          <w:sz w:val="24"/>
          <w:szCs w:val="24"/>
          <w:highlight w:val="none"/>
          <w:lang w:eastAsia="zh-CN"/>
        </w:rPr>
        <w:t>：</w:t>
      </w:r>
    </w:p>
    <w:p w14:paraId="42452FB8">
      <w:pPr>
        <w:keepNext w:val="0"/>
        <w:keepLines w:val="0"/>
        <w:pageBreakBefore w:val="0"/>
        <w:kinsoku/>
        <w:wordWrap w:val="0"/>
        <w:overflowPunct/>
        <w:topLinePunct/>
        <w:bidi w:val="0"/>
        <w:snapToGrid w:val="0"/>
        <w:spacing w:line="360" w:lineRule="auto"/>
        <w:ind w:left="501"/>
        <w:outlineLvl w:val="9"/>
        <w:rPr>
          <w:rFonts w:hint="eastAsia" w:ascii="宋体" w:hAnsi="宋体" w:eastAsia="宋体" w:cs="宋体"/>
          <w:color w:val="auto"/>
          <w:spacing w:val="0"/>
          <w:sz w:val="24"/>
          <w:szCs w:val="24"/>
          <w:highlight w:val="none"/>
        </w:rPr>
      </w:pPr>
      <w:bookmarkStart w:id="80" w:name="_Toc23632"/>
      <w:bookmarkStart w:id="81" w:name="_Toc20481"/>
      <w:bookmarkStart w:id="82" w:name="_Toc13304"/>
      <w:bookmarkStart w:id="83" w:name="_Toc4914"/>
      <w:r>
        <w:rPr>
          <w:rFonts w:hint="eastAsia" w:ascii="宋体" w:hAnsi="宋体" w:eastAsia="宋体" w:cs="宋体"/>
          <w:color w:val="auto"/>
          <w:spacing w:val="0"/>
          <w:sz w:val="24"/>
          <w:szCs w:val="24"/>
          <w:highlight w:val="none"/>
        </w:rPr>
        <w:t>（1）各分册是否按招标文件规定加盖电子印章。</w:t>
      </w:r>
      <w:bookmarkEnd w:id="80"/>
      <w:bookmarkEnd w:id="81"/>
      <w:bookmarkEnd w:id="82"/>
      <w:bookmarkEnd w:id="83"/>
    </w:p>
    <w:p w14:paraId="34819055">
      <w:pPr>
        <w:keepNext w:val="0"/>
        <w:keepLines w:val="0"/>
        <w:pageBreakBefore w:val="0"/>
        <w:kinsoku/>
        <w:wordWrap w:val="0"/>
        <w:overflowPunct/>
        <w:topLinePunct/>
        <w:bidi w:val="0"/>
        <w:snapToGrid w:val="0"/>
        <w:spacing w:line="360" w:lineRule="auto"/>
        <w:ind w:firstLine="480" w:firstLineChars="200"/>
        <w:outlineLvl w:val="9"/>
        <w:rPr>
          <w:rFonts w:hint="eastAsia" w:ascii="宋体" w:hAnsi="宋体" w:eastAsia="宋体" w:cs="宋体"/>
          <w:color w:val="auto"/>
          <w:spacing w:val="0"/>
          <w:sz w:val="24"/>
          <w:szCs w:val="24"/>
          <w:highlight w:val="none"/>
          <w:lang w:eastAsia="zh-CN"/>
        </w:rPr>
      </w:pPr>
      <w:bookmarkStart w:id="84" w:name="_Toc10806"/>
      <w:bookmarkStart w:id="85" w:name="_Toc27432"/>
      <w:bookmarkStart w:id="86" w:name="_Toc28409"/>
      <w:bookmarkStart w:id="87" w:name="_Toc12756"/>
      <w:r>
        <w:rPr>
          <w:rFonts w:hint="eastAsia" w:ascii="宋体" w:hAnsi="宋体" w:eastAsia="宋体" w:cs="宋体"/>
          <w:color w:val="auto"/>
          <w:spacing w:val="0"/>
          <w:sz w:val="24"/>
          <w:szCs w:val="24"/>
          <w:highlight w:val="none"/>
        </w:rPr>
        <w:t>（2）本节第</w:t>
      </w:r>
      <w:r>
        <w:rPr>
          <w:rFonts w:hint="eastAsia" w:ascii="宋体" w:hAnsi="宋体" w:eastAsia="宋体" w:cs="宋体"/>
          <w:b/>
          <w:bCs/>
          <w:color w:val="auto"/>
          <w:spacing w:val="0"/>
          <w:sz w:val="24"/>
          <w:szCs w:val="24"/>
          <w:highlight w:val="none"/>
        </w:rPr>
        <w:t xml:space="preserve"> 10.2.2 </w:t>
      </w:r>
      <w:r>
        <w:rPr>
          <w:rFonts w:hint="eastAsia" w:ascii="宋体" w:hAnsi="宋体" w:eastAsia="宋体" w:cs="宋体"/>
          <w:color w:val="auto"/>
          <w:spacing w:val="0"/>
          <w:sz w:val="24"/>
          <w:szCs w:val="24"/>
          <w:highlight w:val="none"/>
        </w:rPr>
        <w:t xml:space="preserve">目、第 </w:t>
      </w: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目、第</w:t>
      </w:r>
      <w:r>
        <w:rPr>
          <w:rFonts w:hint="eastAsia" w:ascii="宋体" w:hAnsi="宋体" w:eastAsia="宋体" w:cs="宋体"/>
          <w:b/>
          <w:bCs/>
          <w:color w:val="auto"/>
          <w:spacing w:val="0"/>
          <w:sz w:val="24"/>
          <w:szCs w:val="24"/>
          <w:highlight w:val="none"/>
        </w:rPr>
        <w:t xml:space="preserve"> 10.4.3 </w:t>
      </w:r>
      <w:r>
        <w:rPr>
          <w:rFonts w:hint="eastAsia" w:ascii="宋体" w:hAnsi="宋体" w:eastAsia="宋体" w:cs="宋体"/>
          <w:color w:val="auto"/>
          <w:spacing w:val="0"/>
          <w:sz w:val="24"/>
          <w:szCs w:val="24"/>
          <w:highlight w:val="none"/>
        </w:rPr>
        <w:t>目中规定的“所有投标人均应提</w:t>
      </w:r>
      <w:bookmarkEnd w:id="84"/>
      <w:bookmarkEnd w:id="85"/>
      <w:bookmarkEnd w:id="86"/>
      <w:r>
        <w:rPr>
          <w:rFonts w:hint="eastAsia" w:ascii="宋体" w:hAnsi="宋体" w:eastAsia="宋体" w:cs="宋体"/>
          <w:color w:val="auto"/>
          <w:spacing w:val="0"/>
          <w:sz w:val="24"/>
          <w:szCs w:val="24"/>
          <w:highlight w:val="none"/>
        </w:rPr>
        <w:t>供 ”的组成内容（包括该组成内容的所附资料）是否完整、齐全</w:t>
      </w:r>
      <w:bookmarkEnd w:id="87"/>
      <w:r>
        <w:rPr>
          <w:rFonts w:hint="eastAsia" w:ascii="宋体" w:hAnsi="宋体" w:eastAsia="宋体" w:cs="宋体"/>
          <w:color w:val="auto"/>
          <w:spacing w:val="0"/>
          <w:sz w:val="24"/>
          <w:szCs w:val="24"/>
          <w:highlight w:val="none"/>
          <w:lang w:eastAsia="zh-CN"/>
        </w:rPr>
        <w:t>。</w:t>
      </w:r>
    </w:p>
    <w:p w14:paraId="5453C81F">
      <w:pPr>
        <w:keepNext w:val="0"/>
        <w:keepLines w:val="0"/>
        <w:pageBreakBefore w:val="0"/>
        <w:kinsoku/>
        <w:wordWrap w:val="0"/>
        <w:overflowPunct/>
        <w:topLinePunct/>
        <w:bidi w:val="0"/>
        <w:snapToGrid w:val="0"/>
        <w:spacing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88" w:name="_Toc22642"/>
      <w:bookmarkStart w:id="89" w:name="_Toc14202"/>
      <w:bookmarkStart w:id="90" w:name="_Toc16645"/>
      <w:bookmarkStart w:id="91" w:name="_Toc22562"/>
      <w:r>
        <w:rPr>
          <w:rFonts w:hint="eastAsia" w:ascii="宋体" w:hAnsi="宋体" w:eastAsia="宋体" w:cs="宋体"/>
          <w:b/>
          <w:bCs/>
          <w:color w:val="auto"/>
          <w:spacing w:val="0"/>
          <w:sz w:val="24"/>
          <w:szCs w:val="24"/>
          <w:highlight w:val="none"/>
        </w:rPr>
        <w:t xml:space="preserve">15.4.3  </w:t>
      </w:r>
      <w:r>
        <w:rPr>
          <w:rFonts w:hint="eastAsia" w:ascii="宋体" w:hAnsi="宋体" w:eastAsia="宋体" w:cs="宋体"/>
          <w:color w:val="auto"/>
          <w:spacing w:val="0"/>
          <w:sz w:val="24"/>
          <w:szCs w:val="24"/>
          <w:highlight w:val="none"/>
        </w:rPr>
        <w:t xml:space="preserve">响应性评审环节 </w:t>
      </w:r>
    </w:p>
    <w:p w14:paraId="3FB5949A">
      <w:pPr>
        <w:keepNext w:val="0"/>
        <w:keepLines w:val="0"/>
        <w:pageBreakBefore w:val="0"/>
        <w:kinsoku/>
        <w:wordWrap w:val="0"/>
        <w:overflowPunct/>
        <w:topLinePunct/>
        <w:bidi w:val="0"/>
        <w:snapToGrid w:val="0"/>
        <w:spacing w:line="360" w:lineRule="auto"/>
        <w:ind w:right="2" w:firstLine="480"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响应性评项包括：</w:t>
      </w:r>
      <w:bookmarkEnd w:id="88"/>
      <w:bookmarkEnd w:id="89"/>
      <w:bookmarkEnd w:id="90"/>
      <w:bookmarkEnd w:id="91"/>
    </w:p>
    <w:p w14:paraId="55D8DCB3">
      <w:pPr>
        <w:keepNext w:val="0"/>
        <w:keepLines w:val="0"/>
        <w:pageBreakBefore w:val="0"/>
        <w:kinsoku/>
        <w:wordWrap w:val="0"/>
        <w:overflowPunct/>
        <w:topLinePunct/>
        <w:bidi w:val="0"/>
        <w:snapToGrid w:val="0"/>
        <w:spacing w:line="360"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（1）投标有效期、质量标准、工期等是否响应招标文件实质性要求；是否擅自修改、遗漏《投标函》《各项承诺一览表》的实质性内容。</w:t>
      </w:r>
    </w:p>
    <w:p w14:paraId="59088A64">
      <w:pPr>
        <w:keepNext w:val="0"/>
        <w:keepLines w:val="0"/>
        <w:pageBreakBefore w:val="0"/>
        <w:kinsoku/>
        <w:wordWrap w:val="0"/>
        <w:overflowPunct/>
        <w:topLinePunct/>
        <w:bidi w:val="0"/>
        <w:snapToGrid w:val="0"/>
        <w:spacing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（2）编制《投标总价》的造价工程师，其注册证书是否合法、有效。</w:t>
      </w:r>
    </w:p>
    <w:p w14:paraId="0AAA9163">
      <w:pPr>
        <w:keepNext w:val="0"/>
        <w:keepLines w:val="0"/>
        <w:pageBreakBefore w:val="0"/>
        <w:kinsoku/>
        <w:wordWrap w:val="0"/>
        <w:overflowPunct/>
        <w:topLinePunct/>
        <w:bidi w:val="0"/>
        <w:snapToGrid w:val="0"/>
        <w:spacing w:line="360" w:lineRule="auto"/>
        <w:ind w:left="21" w:right="2"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（3）投标人委托造价咨询单位编制《投标总价》的，是否在《投标总价》“投标人”栏目加盖造价咨询人公章；是否提供造价咨询人的营业执照副本彩色扫描件；</w:t>
      </w:r>
    </w:p>
    <w:p w14:paraId="7FAE587F">
      <w:pPr>
        <w:keepNext w:val="0"/>
        <w:keepLines w:val="0"/>
        <w:pageBreakBefore w:val="0"/>
        <w:kinsoku/>
        <w:wordWrap w:val="0"/>
        <w:overflowPunct/>
        <w:topLinePunct/>
        <w:bidi w:val="0"/>
        <w:snapToGrid w:val="0"/>
        <w:spacing w:line="360" w:lineRule="auto"/>
        <w:ind w:left="9" w:firstLine="49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（4）投标总价是否唯一；投标总价是否超出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安全生产</w:t>
      </w:r>
      <w:r>
        <w:rPr>
          <w:rFonts w:hint="eastAsia" w:ascii="宋体" w:hAnsi="宋体" w:eastAsia="宋体" w:cs="宋体"/>
          <w:color w:val="auto"/>
          <w:spacing w:val="0"/>
          <w:sz w:val="24"/>
          <w:szCs w:val="24"/>
          <w:highlight w:val="none"/>
          <w:lang w:eastAsia="zh-CN"/>
        </w:rPr>
        <w:t>措施费</w:t>
      </w:r>
      <w:r>
        <w:rPr>
          <w:rFonts w:hint="eastAsia" w:ascii="宋体" w:hAnsi="宋体" w:eastAsia="宋体" w:cs="宋体"/>
          <w:color w:val="auto"/>
          <w:spacing w:val="0"/>
          <w:sz w:val="24"/>
          <w:szCs w:val="24"/>
          <w:highlight w:val="none"/>
        </w:rPr>
        <w:t>是否达到最低要求；暂列金额</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暂估价</w:t>
      </w:r>
      <w:r>
        <w:rPr>
          <w:rFonts w:hint="eastAsia" w:ascii="宋体" w:hAnsi="宋体" w:eastAsia="宋体" w:cs="宋体"/>
          <w:color w:val="auto"/>
          <w:spacing w:val="0"/>
          <w:sz w:val="24"/>
          <w:szCs w:val="24"/>
          <w:highlight w:val="none"/>
        </w:rPr>
        <w:t>是否按照招标工程量清单统一报价；投标人是否以低于成本的价格竞标。</w:t>
      </w:r>
    </w:p>
    <w:p w14:paraId="66A86E77">
      <w:pPr>
        <w:keepNext w:val="0"/>
        <w:keepLines w:val="0"/>
        <w:pageBreakBefore w:val="0"/>
        <w:kinsoku/>
        <w:wordWrap w:val="0"/>
        <w:overflowPunct/>
        <w:topLinePunct/>
        <w:bidi w:val="0"/>
        <w:snapToGrid w:val="0"/>
        <w:spacing w:line="360" w:lineRule="auto"/>
        <w:ind w:right="2" w:firstLine="482" w:firstLineChars="200"/>
        <w:jc w:val="both"/>
        <w:rPr>
          <w:rFonts w:hint="eastAsia" w:ascii="宋体" w:hAnsi="宋体" w:eastAsia="宋体" w:cs="宋体"/>
          <w:color w:val="auto"/>
          <w:spacing w:val="0"/>
          <w:position w:val="-8"/>
          <w:sz w:val="24"/>
          <w:szCs w:val="24"/>
          <w:highlight w:val="none"/>
        </w:rPr>
      </w:pPr>
      <w:r>
        <w:rPr>
          <w:rFonts w:hint="eastAsia" w:ascii="宋体" w:hAnsi="宋体" w:eastAsia="宋体" w:cs="宋体"/>
          <w:b/>
          <w:bCs/>
          <w:color w:val="auto"/>
          <w:spacing w:val="0"/>
          <w:sz w:val="24"/>
          <w:szCs w:val="24"/>
          <w:highlight w:val="none"/>
        </w:rPr>
        <w:t>注：如果某投标人的投标总价下浮率超过15%，又未提供相应书面说明和佐证</w:t>
      </w:r>
      <w:bookmarkStart w:id="92" w:name="bookmark127"/>
      <w:bookmarkEnd w:id="92"/>
      <w:r>
        <w:rPr>
          <w:rFonts w:hint="eastAsia" w:ascii="宋体" w:hAnsi="宋体" w:eastAsia="宋体" w:cs="宋体"/>
          <w:b/>
          <w:bCs/>
          <w:color w:val="auto"/>
          <w:spacing w:val="0"/>
          <w:sz w:val="24"/>
          <w:szCs w:val="24"/>
          <w:highlight w:val="none"/>
        </w:rPr>
        <w:t>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）×100%。</w:t>
      </w:r>
    </w:p>
    <w:p w14:paraId="56A511BD">
      <w:pPr>
        <w:keepNext w:val="0"/>
        <w:keepLines w:val="0"/>
        <w:pageBreakBefore w:val="0"/>
        <w:kinsoku/>
        <w:wordWrap w:val="0"/>
        <w:overflowPunct/>
        <w:topLinePunct/>
        <w:bidi w:val="0"/>
        <w:snapToGrid w:val="0"/>
        <w:spacing w:line="360" w:lineRule="auto"/>
        <w:ind w:left="11" w:right="114" w:firstLine="501" w:firstLineChars="20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（5）施工组织设计的质量、进度保障措施是否符合国家和省市现行有关规范、规定、标准，是否能实现工程质量、进度管理目标。</w:t>
      </w:r>
    </w:p>
    <w:p w14:paraId="72A78EE6">
      <w:pPr>
        <w:keepNext w:val="0"/>
        <w:keepLines w:val="0"/>
        <w:pageBreakBefore w:val="0"/>
        <w:kinsoku/>
        <w:wordWrap w:val="0"/>
        <w:overflowPunct/>
        <w:topLinePunct/>
        <w:bidi w:val="0"/>
        <w:snapToGrid w:val="0"/>
        <w:spacing w:line="360" w:lineRule="auto"/>
        <w:ind w:left="580"/>
        <w:outlineLvl w:val="9"/>
        <w:rPr>
          <w:rFonts w:hint="eastAsia" w:ascii="宋体" w:hAnsi="宋体" w:eastAsia="宋体" w:cs="宋体"/>
          <w:color w:val="auto"/>
          <w:spacing w:val="0"/>
          <w:sz w:val="24"/>
          <w:szCs w:val="24"/>
          <w:highlight w:val="none"/>
        </w:rPr>
      </w:pPr>
      <w:bookmarkStart w:id="93" w:name="_Toc19814"/>
      <w:bookmarkStart w:id="94" w:name="_Toc15367"/>
      <w:bookmarkStart w:id="95" w:name="_Toc18204"/>
      <w:bookmarkStart w:id="96" w:name="_Toc32114"/>
      <w:r>
        <w:rPr>
          <w:rFonts w:hint="eastAsia" w:ascii="宋体" w:hAnsi="宋体" w:eastAsia="宋体" w:cs="宋体"/>
          <w:b/>
          <w:bCs/>
          <w:color w:val="auto"/>
          <w:spacing w:val="0"/>
          <w:sz w:val="24"/>
          <w:szCs w:val="24"/>
          <w:highlight w:val="none"/>
        </w:rPr>
        <w:t xml:space="preserve">15.4.4  </w:t>
      </w:r>
      <w:r>
        <w:rPr>
          <w:rFonts w:hint="eastAsia" w:ascii="宋体" w:hAnsi="宋体" w:eastAsia="宋体" w:cs="宋体"/>
          <w:color w:val="auto"/>
          <w:spacing w:val="0"/>
          <w:sz w:val="24"/>
          <w:szCs w:val="24"/>
          <w:highlight w:val="none"/>
        </w:rPr>
        <w:t>否决投标说明</w:t>
      </w:r>
      <w:bookmarkEnd w:id="93"/>
      <w:bookmarkEnd w:id="94"/>
      <w:bookmarkEnd w:id="95"/>
      <w:bookmarkEnd w:id="96"/>
    </w:p>
    <w:p w14:paraId="45F59007">
      <w:pPr>
        <w:keepNext w:val="0"/>
        <w:keepLines w:val="0"/>
        <w:pageBreakBefore w:val="0"/>
        <w:kinsoku/>
        <w:wordWrap w:val="0"/>
        <w:overflowPunct/>
        <w:topLinePunct/>
        <w:bidi w:val="0"/>
        <w:snapToGrid w:val="0"/>
        <w:spacing w:line="360" w:lineRule="auto"/>
        <w:ind w:left="11" w:right="175" w:firstLine="5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初步评审阶段各个环节否决投标的全部条件，在本章第四节“否决投标条件”第</w:t>
      </w:r>
      <w:r>
        <w:rPr>
          <w:rFonts w:hint="eastAsia" w:ascii="宋体" w:hAnsi="宋体" w:eastAsia="宋体" w:cs="宋体"/>
          <w:b/>
          <w:bCs/>
          <w:color w:val="auto"/>
          <w:spacing w:val="0"/>
          <w:sz w:val="24"/>
          <w:szCs w:val="24"/>
          <w:highlight w:val="none"/>
        </w:rPr>
        <w:t xml:space="preserve">1 </w:t>
      </w:r>
      <w:r>
        <w:rPr>
          <w:rFonts w:hint="eastAsia" w:ascii="宋体" w:hAnsi="宋体" w:eastAsia="宋体" w:cs="宋体"/>
          <w:color w:val="auto"/>
          <w:spacing w:val="0"/>
          <w:sz w:val="24"/>
          <w:szCs w:val="24"/>
          <w:highlight w:val="none"/>
        </w:rPr>
        <w:t xml:space="preserve">条至第 </w:t>
      </w:r>
      <w:r>
        <w:rPr>
          <w:rFonts w:hint="eastAsia" w:ascii="宋体" w:hAnsi="宋体" w:eastAsia="宋体" w:cs="宋体"/>
          <w:b/>
          <w:bCs/>
          <w:color w:val="auto"/>
          <w:spacing w:val="0"/>
          <w:sz w:val="24"/>
          <w:szCs w:val="24"/>
          <w:highlight w:val="none"/>
        </w:rPr>
        <w:t xml:space="preserve">4 </w:t>
      </w:r>
      <w:r>
        <w:rPr>
          <w:rFonts w:hint="eastAsia" w:ascii="宋体" w:hAnsi="宋体" w:eastAsia="宋体" w:cs="宋体"/>
          <w:color w:val="auto"/>
          <w:spacing w:val="0"/>
          <w:sz w:val="24"/>
          <w:szCs w:val="24"/>
          <w:highlight w:val="none"/>
        </w:rPr>
        <w:t>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评标委员会经评审，认为所有投标都不符合招标文件要求的，可否决所有投标，项目的所有投标被否决的，招标人应依法重新组织招标。</w:t>
      </w:r>
    </w:p>
    <w:p w14:paraId="3FA9BFE0">
      <w:pPr>
        <w:keepNext w:val="0"/>
        <w:keepLines w:val="0"/>
        <w:pageBreakBefore w:val="0"/>
        <w:kinsoku/>
        <w:wordWrap w:val="0"/>
        <w:overflowPunct/>
        <w:topLinePunct/>
        <w:bidi w:val="0"/>
        <w:snapToGrid w:val="0"/>
        <w:spacing w:line="360" w:lineRule="auto"/>
        <w:ind w:left="5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drawing>
          <wp:anchor distT="0" distB="0" distL="114300" distR="114300" simplePos="0" relativeHeight="251662336"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6"/>
                    <a:stretch>
                      <a:fillRect/>
                    </a:stretch>
                  </pic:blipFill>
                  <pic:spPr>
                    <a:xfrm>
                      <a:off x="0" y="0"/>
                      <a:ext cx="6350" cy="279400"/>
                    </a:xfrm>
                    <a:prstGeom prst="rect">
                      <a:avLst/>
                    </a:prstGeom>
                    <a:noFill/>
                    <a:ln>
                      <a:noFill/>
                    </a:ln>
                  </pic:spPr>
                </pic:pic>
              </a:graphicData>
            </a:graphic>
          </wp:anchor>
        </w:drawing>
      </w:r>
      <w:bookmarkStart w:id="97" w:name="bookmark128"/>
      <w:bookmarkEnd w:id="97"/>
      <w:r>
        <w:rPr>
          <w:rFonts w:hint="eastAsia" w:ascii="宋体" w:hAnsi="宋体" w:eastAsia="宋体" w:cs="宋体"/>
          <w:b/>
          <w:bCs/>
          <w:color w:val="auto"/>
          <w:spacing w:val="0"/>
          <w:sz w:val="24"/>
          <w:szCs w:val="24"/>
          <w:highlight w:val="none"/>
        </w:rPr>
        <w:t xml:space="preserve">15.5  </w:t>
      </w:r>
      <w:r>
        <w:rPr>
          <w:rFonts w:hint="eastAsia" w:ascii="宋体" w:hAnsi="宋体" w:eastAsia="宋体" w:cs="宋体"/>
          <w:color w:val="auto"/>
          <w:spacing w:val="0"/>
          <w:sz w:val="24"/>
          <w:szCs w:val="24"/>
          <w:highlight w:val="none"/>
        </w:rPr>
        <w:t>详细评审阶段</w:t>
      </w:r>
    </w:p>
    <w:p w14:paraId="702CEF01">
      <w:pPr>
        <w:keepNext w:val="0"/>
        <w:keepLines w:val="0"/>
        <w:pageBreakBefore w:val="0"/>
        <w:kinsoku/>
        <w:wordWrap w:val="0"/>
        <w:overflowPunct/>
        <w:topLinePunct/>
        <w:bidi w:val="0"/>
        <w:snapToGrid w:val="0"/>
        <w:spacing w:line="360" w:lineRule="auto"/>
        <w:ind w:left="498"/>
        <w:outlineLvl w:val="9"/>
        <w:rPr>
          <w:rFonts w:hint="eastAsia" w:ascii="宋体" w:hAnsi="宋体" w:eastAsia="宋体" w:cs="宋体"/>
          <w:color w:val="auto"/>
          <w:spacing w:val="0"/>
          <w:sz w:val="24"/>
          <w:szCs w:val="24"/>
          <w:highlight w:val="none"/>
        </w:rPr>
      </w:pPr>
      <w:bookmarkStart w:id="98" w:name="_Toc28572"/>
      <w:bookmarkStart w:id="99" w:name="_Toc4119"/>
      <w:bookmarkStart w:id="100" w:name="_Toc10503"/>
      <w:bookmarkStart w:id="101" w:name="_Toc14991"/>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“综合评估法 ”评审程序</w:t>
      </w:r>
      <w:bookmarkEnd w:id="98"/>
      <w:bookmarkEnd w:id="99"/>
      <w:bookmarkEnd w:id="100"/>
      <w:bookmarkEnd w:id="101"/>
    </w:p>
    <w:p w14:paraId="13235D42">
      <w:pPr>
        <w:keepNext w:val="0"/>
        <w:keepLines w:val="0"/>
        <w:pageBreakBefore w:val="0"/>
        <w:kinsoku/>
        <w:wordWrap w:val="0"/>
        <w:overflowPunct/>
        <w:topLinePunct/>
        <w:bidi w:val="0"/>
        <w:snapToGrid w:val="0"/>
        <w:spacing w:line="360" w:lineRule="auto"/>
        <w:ind w:left="14" w:right="8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评审内容分为商务技术和投标报价两大部分。其中，商务技术合计满分</w:t>
      </w:r>
      <w:r>
        <w:rPr>
          <w:rFonts w:hint="eastAsia" w:ascii="宋体" w:hAnsi="宋体" w:eastAsia="宋体" w:cs="宋体"/>
          <w:color w:val="auto"/>
          <w:spacing w:val="0"/>
          <w:sz w:val="24"/>
          <w:szCs w:val="24"/>
          <w:highlight w:val="none"/>
          <w:lang w:eastAsia="zh-CN"/>
        </w:rPr>
        <w:t>100</w:t>
      </w:r>
      <w:r>
        <w:rPr>
          <w:rFonts w:hint="eastAsia" w:ascii="宋体" w:hAnsi="宋体" w:eastAsia="宋体" w:cs="宋体"/>
          <w:color w:val="auto"/>
          <w:spacing w:val="0"/>
          <w:sz w:val="24"/>
          <w:szCs w:val="24"/>
          <w:highlight w:val="none"/>
        </w:rPr>
        <w:t>分，权重为</w:t>
      </w:r>
      <w:r>
        <w:rPr>
          <w:rFonts w:hint="eastAsia" w:ascii="宋体" w:hAnsi="宋体" w:eastAsia="宋体" w:cs="宋体"/>
          <w:color w:val="auto"/>
          <w:spacing w:val="0"/>
          <w:sz w:val="24"/>
          <w:szCs w:val="24"/>
          <w:highlight w:val="none"/>
          <w:lang w:eastAsia="zh-CN"/>
        </w:rPr>
        <w:t>40</w:t>
      </w:r>
      <w:r>
        <w:rPr>
          <w:rFonts w:hint="eastAsia" w:ascii="宋体" w:hAnsi="宋体" w:eastAsia="宋体" w:cs="宋体"/>
          <w:color w:val="auto"/>
          <w:spacing w:val="0"/>
          <w:sz w:val="24"/>
          <w:szCs w:val="24"/>
          <w:highlight w:val="none"/>
        </w:rPr>
        <w:t>%；投标报价满分100分，权重为</w:t>
      </w:r>
      <w:r>
        <w:rPr>
          <w:rFonts w:hint="eastAsia" w:ascii="宋体" w:hAnsi="宋体" w:eastAsia="宋体" w:cs="宋体"/>
          <w:color w:val="auto"/>
          <w:spacing w:val="0"/>
          <w:sz w:val="24"/>
          <w:szCs w:val="24"/>
          <w:highlight w:val="none"/>
          <w:lang w:eastAsia="zh-CN"/>
        </w:rPr>
        <w:t>60</w:t>
      </w:r>
      <w:r>
        <w:rPr>
          <w:rFonts w:hint="eastAsia" w:ascii="宋体" w:hAnsi="宋体" w:eastAsia="宋体" w:cs="宋体"/>
          <w:color w:val="auto"/>
          <w:spacing w:val="0"/>
          <w:sz w:val="24"/>
          <w:szCs w:val="24"/>
          <w:highlight w:val="none"/>
        </w:rPr>
        <w:t>%。两大部分权重之和应为100%。</w:t>
      </w:r>
    </w:p>
    <w:p w14:paraId="2047EBFB">
      <w:pPr>
        <w:keepNext w:val="0"/>
        <w:keepLines w:val="0"/>
        <w:pageBreakBefore w:val="0"/>
        <w:kinsoku/>
        <w:wordWrap w:val="0"/>
        <w:overflowPunct/>
        <w:topLinePunct/>
        <w:bidi w:val="0"/>
        <w:snapToGrid w:val="0"/>
        <w:spacing w:line="360" w:lineRule="auto"/>
        <w:ind w:left="14"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除特别注明外，综合得分以及商务技术得分、投标报价得分的中间过程计算值和最终值，均按“ 四舍五入 ”原则精确到两位小数。</w:t>
      </w:r>
    </w:p>
    <w:p w14:paraId="6CE2DB01">
      <w:pPr>
        <w:keepNext w:val="0"/>
        <w:keepLines w:val="0"/>
        <w:pageBreakBefore w:val="0"/>
        <w:kinsoku/>
        <w:wordWrap w:val="0"/>
        <w:overflowPunct/>
        <w:topLinePunct/>
        <w:bidi w:val="0"/>
        <w:snapToGrid w:val="0"/>
        <w:spacing w:line="360" w:lineRule="auto"/>
        <w:ind w:left="503"/>
        <w:outlineLvl w:val="9"/>
        <w:rPr>
          <w:rFonts w:hint="eastAsia" w:ascii="宋体" w:hAnsi="宋体" w:eastAsia="宋体" w:cs="宋体"/>
          <w:color w:val="auto"/>
          <w:spacing w:val="0"/>
          <w:sz w:val="24"/>
          <w:szCs w:val="24"/>
          <w:highlight w:val="none"/>
        </w:rPr>
      </w:pPr>
      <w:bookmarkStart w:id="102" w:name="_Toc10398"/>
      <w:bookmarkStart w:id="103" w:name="_Toc18029"/>
      <w:bookmarkStart w:id="104" w:name="_Toc17510"/>
      <w:bookmarkStart w:id="105" w:name="_Toc22949"/>
      <w:r>
        <w:rPr>
          <w:rFonts w:hint="eastAsia" w:ascii="宋体" w:hAnsi="宋体" w:eastAsia="宋体" w:cs="宋体"/>
          <w:color w:val="auto"/>
          <w:spacing w:val="0"/>
          <w:sz w:val="24"/>
          <w:szCs w:val="24"/>
          <w:highlight w:val="none"/>
        </w:rPr>
        <w:t>（1）商务技术得分 M</w:t>
      </w:r>
      <w:bookmarkEnd w:id="102"/>
      <w:bookmarkEnd w:id="103"/>
      <w:bookmarkEnd w:id="104"/>
      <w:bookmarkEnd w:id="105"/>
    </w:p>
    <w:p w14:paraId="6C35A0D5">
      <w:pPr>
        <w:keepNext w:val="0"/>
        <w:keepLines w:val="0"/>
        <w:pageBreakBefore w:val="0"/>
        <w:kinsoku/>
        <w:wordWrap w:val="0"/>
        <w:overflowPunct/>
        <w:topLinePunct/>
        <w:bidi w:val="0"/>
        <w:snapToGrid w:val="0"/>
        <w:spacing w:line="360" w:lineRule="auto"/>
        <w:ind w:left="15" w:right="81"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．评标委员会按照《综合评分表》商务部分指定的评分标准对各评分因素进行打分。各评分因素得分之和即为某投标人的商务得分 M</w:t>
      </w:r>
      <w:r>
        <w:rPr>
          <w:rFonts w:hint="eastAsia" w:ascii="宋体" w:hAnsi="宋体" w:eastAsia="宋体" w:cs="宋体"/>
          <w:color w:val="auto"/>
          <w:spacing w:val="0"/>
          <w:position w:val="-1"/>
          <w:sz w:val="24"/>
          <w:szCs w:val="24"/>
          <w:highlight w:val="none"/>
        </w:rPr>
        <w:t>1</w:t>
      </w:r>
      <w:r>
        <w:rPr>
          <w:rFonts w:hint="eastAsia" w:ascii="宋体" w:hAnsi="宋体" w:eastAsia="宋体" w:cs="宋体"/>
          <w:color w:val="auto"/>
          <w:spacing w:val="0"/>
          <w:sz w:val="24"/>
          <w:szCs w:val="24"/>
          <w:highlight w:val="none"/>
        </w:rPr>
        <w:t>。</w:t>
      </w:r>
    </w:p>
    <w:p w14:paraId="77FD884E">
      <w:pPr>
        <w:keepNext w:val="0"/>
        <w:keepLines w:val="0"/>
        <w:pageBreakBefore w:val="0"/>
        <w:kinsoku/>
        <w:wordWrap w:val="0"/>
        <w:overflowPunct/>
        <w:topLinePunct/>
        <w:bidi w:val="0"/>
        <w:snapToGrid w:val="0"/>
        <w:spacing w:line="360" w:lineRule="auto"/>
        <w:ind w:left="12" w:right="8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 M</w:t>
      </w:r>
      <w:r>
        <w:rPr>
          <w:rFonts w:hint="eastAsia" w:ascii="宋体" w:hAnsi="宋体" w:eastAsia="宋体" w:cs="宋体"/>
          <w:color w:val="auto"/>
          <w:spacing w:val="0"/>
          <w:position w:val="-1"/>
          <w:sz w:val="24"/>
          <w:szCs w:val="24"/>
          <w:highlight w:val="none"/>
        </w:rPr>
        <w:t>2</w:t>
      </w:r>
      <w:r>
        <w:rPr>
          <w:rFonts w:hint="eastAsia" w:ascii="宋体" w:hAnsi="宋体" w:eastAsia="宋体" w:cs="宋体"/>
          <w:color w:val="auto"/>
          <w:spacing w:val="0"/>
          <w:sz w:val="24"/>
          <w:szCs w:val="24"/>
          <w:highlight w:val="none"/>
        </w:rPr>
        <w:t>。</w:t>
      </w:r>
    </w:p>
    <w:p w14:paraId="79EF66EC">
      <w:pPr>
        <w:keepNext w:val="0"/>
        <w:keepLines w:val="0"/>
        <w:pageBreakBefore w:val="0"/>
        <w:kinsoku/>
        <w:wordWrap w:val="0"/>
        <w:overflowPunct/>
        <w:topLinePunct/>
        <w:bidi w:val="0"/>
        <w:snapToGrid w:val="0"/>
        <w:spacing w:line="360" w:lineRule="auto"/>
        <w:ind w:left="49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c </w:t>
      </w:r>
      <w:r>
        <w:rPr>
          <w:rFonts w:hint="eastAsia" w:ascii="宋体" w:hAnsi="宋体" w:eastAsia="宋体" w:cs="宋体"/>
          <w:color w:val="auto"/>
          <w:spacing w:val="0"/>
          <w:sz w:val="24"/>
          <w:szCs w:val="24"/>
          <w:highlight w:val="none"/>
        </w:rPr>
        <w:t>．M ＝M</w:t>
      </w:r>
      <w:r>
        <w:rPr>
          <w:rFonts w:hint="eastAsia" w:ascii="宋体" w:hAnsi="宋体" w:eastAsia="宋体" w:cs="宋体"/>
          <w:color w:val="auto"/>
          <w:spacing w:val="0"/>
          <w:position w:val="-1"/>
          <w:sz w:val="24"/>
          <w:szCs w:val="24"/>
          <w:highlight w:val="none"/>
        </w:rPr>
        <w:t>1</w:t>
      </w:r>
      <w:r>
        <w:rPr>
          <w:rFonts w:hint="eastAsia" w:ascii="宋体" w:hAnsi="宋体" w:eastAsia="宋体" w:cs="宋体"/>
          <w:color w:val="auto"/>
          <w:spacing w:val="0"/>
          <w:sz w:val="24"/>
          <w:szCs w:val="24"/>
          <w:highlight w:val="none"/>
        </w:rPr>
        <w:t>＋M</w:t>
      </w:r>
      <w:r>
        <w:rPr>
          <w:rFonts w:hint="eastAsia" w:ascii="宋体" w:hAnsi="宋体" w:eastAsia="宋体" w:cs="宋体"/>
          <w:color w:val="auto"/>
          <w:spacing w:val="0"/>
          <w:position w:val="-1"/>
          <w:sz w:val="24"/>
          <w:szCs w:val="24"/>
          <w:highlight w:val="none"/>
        </w:rPr>
        <w:t>2</w:t>
      </w:r>
    </w:p>
    <w:p w14:paraId="729DC5A2">
      <w:pPr>
        <w:keepNext w:val="0"/>
        <w:keepLines w:val="0"/>
        <w:pageBreakBefore w:val="0"/>
        <w:kinsoku/>
        <w:wordWrap w:val="0"/>
        <w:overflowPunct/>
        <w:topLinePunct/>
        <w:bidi w:val="0"/>
        <w:snapToGrid w:val="0"/>
        <w:spacing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w:t>
      </w:r>
      <w:r>
        <w:rPr>
          <w:rFonts w:hint="eastAsia" w:ascii="宋体" w:hAnsi="宋体" w:eastAsia="宋体" w:cs="宋体"/>
          <w:color w:val="auto"/>
          <w:spacing w:val="0"/>
          <w:position w:val="-1"/>
          <w:sz w:val="24"/>
          <w:szCs w:val="24"/>
          <w:highlight w:val="none"/>
        </w:rPr>
        <w:t>1</w:t>
      </w:r>
      <w:r>
        <w:rPr>
          <w:rFonts w:hint="eastAsia" w:ascii="宋体" w:hAnsi="宋体" w:eastAsia="宋体" w:cs="宋体"/>
          <w:color w:val="auto"/>
          <w:spacing w:val="0"/>
          <w:w w:val="101"/>
          <w:position w:val="-1"/>
          <w:sz w:val="24"/>
          <w:szCs w:val="24"/>
          <w:highlight w:val="none"/>
        </w:rPr>
        <w:t xml:space="preserve"> </w:t>
      </w:r>
      <w:r>
        <w:rPr>
          <w:rFonts w:hint="eastAsia" w:ascii="宋体" w:hAnsi="宋体" w:eastAsia="宋体" w:cs="宋体"/>
          <w:color w:val="auto"/>
          <w:spacing w:val="0"/>
          <w:sz w:val="24"/>
          <w:szCs w:val="24"/>
          <w:highlight w:val="none"/>
        </w:rPr>
        <w:t>为某投标人的商务得分，M</w:t>
      </w:r>
      <w:r>
        <w:rPr>
          <w:rFonts w:hint="eastAsia" w:ascii="宋体" w:hAnsi="宋体" w:eastAsia="宋体" w:cs="宋体"/>
          <w:color w:val="auto"/>
          <w:spacing w:val="0"/>
          <w:position w:val="-1"/>
          <w:sz w:val="24"/>
          <w:szCs w:val="24"/>
          <w:highlight w:val="none"/>
        </w:rPr>
        <w:t xml:space="preserve">2 </w:t>
      </w:r>
      <w:r>
        <w:rPr>
          <w:rFonts w:hint="eastAsia" w:ascii="宋体" w:hAnsi="宋体" w:eastAsia="宋体" w:cs="宋体"/>
          <w:color w:val="auto"/>
          <w:spacing w:val="0"/>
          <w:sz w:val="24"/>
          <w:szCs w:val="24"/>
          <w:highlight w:val="none"/>
        </w:rPr>
        <w:t>为某投标人的技术得分。</w:t>
      </w:r>
    </w:p>
    <w:p w14:paraId="07A82CB9">
      <w:pPr>
        <w:keepNext w:val="0"/>
        <w:keepLines w:val="0"/>
        <w:pageBreakBefore w:val="0"/>
        <w:kinsoku/>
        <w:wordWrap w:val="0"/>
        <w:overflowPunct/>
        <w:topLinePunct/>
        <w:bidi w:val="0"/>
        <w:snapToGrid w:val="0"/>
        <w:spacing w:line="360" w:lineRule="auto"/>
        <w:ind w:left="503"/>
        <w:outlineLvl w:val="9"/>
        <w:rPr>
          <w:rFonts w:hint="eastAsia" w:ascii="宋体" w:hAnsi="宋体" w:eastAsia="宋体" w:cs="宋体"/>
          <w:color w:val="auto"/>
          <w:spacing w:val="0"/>
          <w:sz w:val="24"/>
          <w:szCs w:val="24"/>
          <w:highlight w:val="none"/>
        </w:rPr>
      </w:pPr>
      <w:bookmarkStart w:id="106" w:name="_Toc27609"/>
      <w:bookmarkStart w:id="107" w:name="_Toc16136"/>
      <w:bookmarkStart w:id="108" w:name="_Toc14059"/>
      <w:bookmarkStart w:id="109" w:name="_Toc3958"/>
      <w:r>
        <w:rPr>
          <w:rFonts w:hint="eastAsia" w:ascii="宋体" w:hAnsi="宋体" w:eastAsia="宋体" w:cs="宋体"/>
          <w:color w:val="auto"/>
          <w:spacing w:val="0"/>
          <w:sz w:val="24"/>
          <w:szCs w:val="24"/>
          <w:highlight w:val="none"/>
        </w:rPr>
        <w:t>（2）投标报价得分 N</w:t>
      </w:r>
      <w:bookmarkEnd w:id="106"/>
      <w:bookmarkEnd w:id="107"/>
      <w:bookmarkEnd w:id="108"/>
      <w:bookmarkEnd w:id="109"/>
    </w:p>
    <w:p w14:paraId="529A26CF">
      <w:pPr>
        <w:keepNext w:val="0"/>
        <w:keepLines w:val="0"/>
        <w:pageBreakBefore w:val="0"/>
        <w:kinsoku/>
        <w:wordWrap w:val="0"/>
        <w:overflowPunct/>
        <w:topLinePunct/>
        <w:bidi w:val="0"/>
        <w:snapToGrid w:val="0"/>
        <w:spacing w:line="360"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．评标委员会按照《综合评分表》投标报价部分指定的方法计算评标基准价 D。</w:t>
      </w:r>
    </w:p>
    <w:p w14:paraId="01E21D87">
      <w:pPr>
        <w:keepNext w:val="0"/>
        <w:keepLines w:val="0"/>
        <w:pageBreakBefore w:val="0"/>
        <w:kinsoku/>
        <w:wordWrap w:val="0"/>
        <w:overflowPunct/>
        <w:topLinePunct/>
        <w:bidi w:val="0"/>
        <w:snapToGrid w:val="0"/>
        <w:spacing w:line="360" w:lineRule="auto"/>
        <w:ind w:left="12" w:right="83"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 xml:space="preserve">．采用内插法计算某投标人的投标报价得分 N ，即当投标人的投标总价等于评标基准价时得 100 分，每高于评标基准价一个百分点扣 </w:t>
      </w:r>
      <w:r>
        <w:rPr>
          <w:rFonts w:hint="eastAsia" w:ascii="宋体" w:hAnsi="宋体" w:eastAsia="宋体" w:cs="宋体"/>
          <w:b/>
          <w:bCs/>
          <w:color w:val="auto"/>
          <w:spacing w:val="0"/>
          <w:sz w:val="24"/>
          <w:szCs w:val="24"/>
          <w:highlight w:val="none"/>
        </w:rPr>
        <w:t xml:space="preserve">1 分, </w:t>
      </w:r>
      <w:r>
        <w:rPr>
          <w:rFonts w:hint="eastAsia" w:ascii="宋体" w:hAnsi="宋体" w:eastAsia="宋体" w:cs="宋体"/>
          <w:color w:val="auto"/>
          <w:spacing w:val="0"/>
          <w:sz w:val="24"/>
          <w:szCs w:val="24"/>
          <w:highlight w:val="none"/>
        </w:rPr>
        <w:t xml:space="preserve">每低于评标基准价一个百分点扣 </w:t>
      </w:r>
      <w:r>
        <w:rPr>
          <w:rFonts w:hint="eastAsia" w:ascii="宋体" w:hAnsi="宋体" w:eastAsia="宋体" w:cs="宋体"/>
          <w:b/>
          <w:bCs/>
          <w:color w:val="auto"/>
          <w:spacing w:val="0"/>
          <w:sz w:val="24"/>
          <w:szCs w:val="24"/>
          <w:highlight w:val="none"/>
        </w:rPr>
        <w:t>0.5 分</w:t>
      </w:r>
      <w:r>
        <w:rPr>
          <w:rFonts w:hint="eastAsia" w:ascii="宋体" w:hAnsi="宋体" w:eastAsia="宋体" w:cs="宋体"/>
          <w:color w:val="auto"/>
          <w:spacing w:val="0"/>
          <w:sz w:val="24"/>
          <w:szCs w:val="24"/>
          <w:highlight w:val="none"/>
        </w:rPr>
        <w:t>，扣完为止。公式如下：</w:t>
      </w:r>
    </w:p>
    <w:p w14:paraId="12F94442">
      <w:pPr>
        <w:keepNext w:val="0"/>
        <w:keepLines w:val="0"/>
        <w:pageBreakBefore w:val="0"/>
        <w:kinsoku/>
        <w:wordWrap w:val="0"/>
        <w:overflowPunct/>
        <w:topLinePunct/>
        <w:bidi w:val="0"/>
        <w:snapToGrid w:val="0"/>
        <w:spacing w:line="360" w:lineRule="auto"/>
        <w:ind w:left="24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N ＝100－（| Di－D | ÷D） × 100×E</w:t>
      </w:r>
    </w:p>
    <w:p w14:paraId="667176B8">
      <w:pPr>
        <w:keepNext w:val="0"/>
        <w:keepLines w:val="0"/>
        <w:pageBreakBefore w:val="0"/>
        <w:kinsoku/>
        <w:wordWrap w:val="0"/>
        <w:overflowPunct/>
        <w:topLinePunct/>
        <w:bidi w:val="0"/>
        <w:snapToGrid w:val="0"/>
        <w:spacing w:line="360" w:lineRule="auto"/>
        <w:ind w:left="7" w:right="17"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式中：D 为评标基准价；Di为某投标人的投标总价；E 为扣分因子，当 Di＞D时，E ＝</w:t>
      </w:r>
      <w:r>
        <w:rPr>
          <w:rFonts w:hint="eastAsia" w:ascii="宋体" w:hAnsi="宋体" w:eastAsia="宋体" w:cs="宋体"/>
          <w:b/>
          <w:bCs/>
          <w:color w:val="auto"/>
          <w:spacing w:val="0"/>
          <w:sz w:val="24"/>
          <w:szCs w:val="24"/>
          <w:highlight w:val="none"/>
        </w:rPr>
        <w:t>1 ；</w:t>
      </w:r>
      <w:r>
        <w:rPr>
          <w:rFonts w:hint="eastAsia" w:ascii="宋体" w:hAnsi="宋体" w:eastAsia="宋体" w:cs="宋体"/>
          <w:color w:val="auto"/>
          <w:spacing w:val="0"/>
          <w:sz w:val="24"/>
          <w:szCs w:val="24"/>
          <w:highlight w:val="none"/>
        </w:rPr>
        <w:t>当 Di＜D</w:t>
      </w:r>
      <w:r>
        <w:rPr>
          <w:rFonts w:hint="eastAsia" w:ascii="宋体" w:hAnsi="宋体" w:eastAsia="宋体" w:cs="宋体"/>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时，E </w:t>
      </w:r>
      <w:r>
        <w:rPr>
          <w:rFonts w:hint="eastAsia" w:ascii="宋体" w:hAnsi="宋体" w:eastAsia="宋体" w:cs="宋体"/>
          <w:b/>
          <w:bCs/>
          <w:color w:val="auto"/>
          <w:spacing w:val="0"/>
          <w:sz w:val="24"/>
          <w:szCs w:val="24"/>
          <w:highlight w:val="none"/>
        </w:rPr>
        <w:t>＝0.5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w:t>
      </w:r>
    </w:p>
    <w:p w14:paraId="77C8A70E">
      <w:pPr>
        <w:keepNext w:val="0"/>
        <w:keepLines w:val="0"/>
        <w:pageBreakBefore w:val="0"/>
        <w:kinsoku/>
        <w:wordWrap w:val="0"/>
        <w:overflowPunct/>
        <w:topLinePunct/>
        <w:bidi w:val="0"/>
        <w:snapToGrid w:val="0"/>
        <w:spacing w:line="360" w:lineRule="auto"/>
        <w:ind w:left="503"/>
        <w:outlineLvl w:val="9"/>
        <w:rPr>
          <w:rFonts w:hint="eastAsia" w:ascii="宋体" w:hAnsi="宋体" w:eastAsia="宋体" w:cs="宋体"/>
          <w:color w:val="auto"/>
          <w:spacing w:val="0"/>
          <w:sz w:val="24"/>
          <w:szCs w:val="24"/>
          <w:highlight w:val="none"/>
        </w:rPr>
      </w:pPr>
      <w:bookmarkStart w:id="110" w:name="_Toc7915"/>
      <w:bookmarkStart w:id="111" w:name="_Toc4990"/>
      <w:bookmarkStart w:id="112" w:name="_Toc576"/>
      <w:bookmarkStart w:id="113" w:name="_Toc3861"/>
      <w:r>
        <w:rPr>
          <w:rFonts w:hint="eastAsia" w:ascii="宋体" w:hAnsi="宋体" w:eastAsia="宋体" w:cs="宋体"/>
          <w:color w:val="auto"/>
          <w:spacing w:val="0"/>
          <w:sz w:val="24"/>
          <w:szCs w:val="24"/>
          <w:highlight w:val="none"/>
        </w:rPr>
        <w:t>（3）综合得分</w:t>
      </w:r>
      <w:bookmarkEnd w:id="110"/>
      <w:bookmarkEnd w:id="111"/>
      <w:bookmarkEnd w:id="112"/>
      <w:bookmarkEnd w:id="113"/>
    </w:p>
    <w:p w14:paraId="17C105A9">
      <w:pPr>
        <w:keepNext w:val="0"/>
        <w:keepLines w:val="0"/>
        <w:pageBreakBefore w:val="0"/>
        <w:kinsoku/>
        <w:wordWrap w:val="0"/>
        <w:overflowPunct/>
        <w:topLinePunct/>
        <w:bidi w:val="0"/>
        <w:snapToGrid w:val="0"/>
        <w:spacing w:line="360" w:lineRule="auto"/>
        <w:ind w:left="49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综合得分换算为百分制，满分 100 分，公式如下：</w:t>
      </w:r>
    </w:p>
    <w:p w14:paraId="385824F0">
      <w:pPr>
        <w:keepNext w:val="0"/>
        <w:keepLines w:val="0"/>
        <w:pageBreakBefore w:val="0"/>
        <w:kinsoku/>
        <w:wordWrap w:val="0"/>
        <w:overflowPunct/>
        <w:topLinePunct/>
        <w:bidi w:val="0"/>
        <w:snapToGrid w:val="0"/>
        <w:spacing w:line="360"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综合得分＝M÷商务技术合计满分×100×商务技术权重＋N×投标报价权重</w:t>
      </w:r>
    </w:p>
    <w:p w14:paraId="6F1E25D9">
      <w:pPr>
        <w:keepNext w:val="0"/>
        <w:keepLines w:val="0"/>
        <w:pageBreakBefore w:val="0"/>
        <w:kinsoku/>
        <w:wordWrap w:val="0"/>
        <w:overflowPunct/>
        <w:topLinePunct/>
        <w:bidi w:val="0"/>
        <w:snapToGrid w:val="0"/>
        <w:spacing w:line="360"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 为商务技术得分，N 为投标报价得分。</w:t>
      </w:r>
    </w:p>
    <w:p w14:paraId="19A75A94">
      <w:pPr>
        <w:keepNext w:val="0"/>
        <w:keepLines w:val="0"/>
        <w:pageBreakBefore w:val="0"/>
        <w:numPr>
          <w:ilvl w:val="0"/>
          <w:numId w:val="0"/>
        </w:numPr>
        <w:shd w:val="clear" w:color="auto" w:fill="auto"/>
        <w:kinsoku/>
        <w:wordWrap w:val="0"/>
        <w:overflowPunct/>
        <w:topLinePunct/>
        <w:bidi w:val="0"/>
        <w:adjustRightInd/>
        <w:snapToGrid w:val="0"/>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bookmarkStart w:id="114" w:name="_Toc30671"/>
      <w:bookmarkStart w:id="115" w:name="_Toc25214"/>
      <w:bookmarkStart w:id="116" w:name="_Toc2885"/>
      <w:bookmarkStart w:id="117" w:name="_Toc32384"/>
      <w:r>
        <w:rPr>
          <w:rFonts w:hint="eastAsia" w:ascii="宋体" w:hAnsi="宋体" w:eastAsia="宋体" w:cs="宋体"/>
          <w:snapToGrid w:val="0"/>
          <w:color w:val="auto"/>
          <w:sz w:val="24"/>
          <w:szCs w:val="24"/>
          <w:highlight w:val="none"/>
          <w:lang w:val="en-US" w:eastAsia="en-US" w:bidi="ar-SA"/>
        </w:rPr>
        <w:t>（4）</w:t>
      </w:r>
      <w:r>
        <w:rPr>
          <w:rFonts w:hint="eastAsia" w:ascii="宋体" w:hAnsi="宋体" w:eastAsia="宋体" w:cs="宋体"/>
          <w:color w:val="auto"/>
          <w:sz w:val="24"/>
          <w:szCs w:val="24"/>
          <w:highlight w:val="none"/>
        </w:rPr>
        <w:t>评标委员会汇总、比较所有投标人的综合得分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当通过评审的有效投标人数量多于5名时，评标委员会应将得分前5名的投标人不排序推荐给定标委员会，推荐名单可以按企业统一社会信用代码后4位大小排位；当有效投标人数量不足5名但满足法定要求时，所有通过评审的有效投标人均应作为定标候选人。</w:t>
      </w:r>
      <w:bookmarkEnd w:id="114"/>
      <w:bookmarkEnd w:id="115"/>
      <w:bookmarkEnd w:id="116"/>
      <w:bookmarkEnd w:id="117"/>
      <w:r>
        <w:rPr>
          <w:rFonts w:hint="eastAsia" w:ascii="宋体" w:hAnsi="宋体" w:eastAsia="宋体" w:cs="宋体"/>
          <w:color w:val="auto"/>
          <w:sz w:val="24"/>
          <w:szCs w:val="24"/>
          <w:highlight w:val="none"/>
        </w:rPr>
        <w:t>如果综合得分相同，取投标总价低者</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rPr>
        <w:t>定标候选人，并依此确定</w:t>
      </w:r>
      <w:r>
        <w:rPr>
          <w:rFonts w:hint="eastAsia" w:ascii="宋体" w:hAnsi="宋体" w:eastAsia="宋体" w:cs="宋体"/>
          <w:color w:val="auto"/>
          <w:sz w:val="24"/>
          <w:szCs w:val="24"/>
          <w:highlight w:val="none"/>
          <w:lang w:val="en-US" w:eastAsia="zh-CN"/>
        </w:rPr>
        <w:t>后续定标候选人</w:t>
      </w:r>
      <w:r>
        <w:rPr>
          <w:rFonts w:hint="eastAsia" w:ascii="宋体" w:hAnsi="宋体" w:eastAsia="宋体" w:cs="宋体"/>
          <w:color w:val="auto"/>
          <w:sz w:val="24"/>
          <w:szCs w:val="24"/>
          <w:highlight w:val="none"/>
        </w:rPr>
        <w:t>。如果综合得分相同，投标总价也相同，由评标委员会投票确定。</w:t>
      </w:r>
    </w:p>
    <w:p w14:paraId="2241381C">
      <w:pPr>
        <w:keepNext w:val="0"/>
        <w:keepLines w:val="0"/>
        <w:pageBreakBefore w:val="0"/>
        <w:numPr>
          <w:ilvl w:val="0"/>
          <w:numId w:val="0"/>
        </w:numPr>
        <w:shd w:val="clear" w:color="auto" w:fill="auto"/>
        <w:kinsoku/>
        <w:wordWrap w:val="0"/>
        <w:overflowPunct/>
        <w:topLinePunct/>
        <w:bidi w:val="0"/>
        <w:adjustRightInd/>
        <w:snapToGrid w:val="0"/>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lang w:val="en-US" w:eastAsia="en-US" w:bidi="ar-SA"/>
        </w:rPr>
        <w:t>（5）</w:t>
      </w:r>
      <w:r>
        <w:rPr>
          <w:rFonts w:hint="eastAsia" w:ascii="宋体" w:hAnsi="宋体" w:eastAsia="宋体" w:cs="宋体"/>
          <w:color w:val="auto"/>
          <w:sz w:val="24"/>
          <w:szCs w:val="24"/>
          <w:highlight w:val="none"/>
        </w:rPr>
        <w:t>评标委员会根据招标文件评审并出具评标推荐报告</w:t>
      </w:r>
      <w:r>
        <w:rPr>
          <w:rFonts w:hint="eastAsia" w:ascii="宋体" w:hAnsi="宋体" w:eastAsia="宋体" w:cs="宋体"/>
          <w:color w:val="auto"/>
          <w:sz w:val="24"/>
          <w:szCs w:val="24"/>
          <w:highlight w:val="none"/>
          <w:lang w:eastAsia="zh-CN"/>
        </w:rPr>
        <w:t>，评标推荐报告需对每个定标候选人的优势、风险等评审情况进行说明。</w:t>
      </w:r>
    </w:p>
    <w:p w14:paraId="73F52994">
      <w:pPr>
        <w:keepNext w:val="0"/>
        <w:keepLines w:val="0"/>
        <w:pageBreakBefore w:val="0"/>
        <w:numPr>
          <w:ilvl w:val="0"/>
          <w:numId w:val="0"/>
        </w:numPr>
        <w:shd w:val="clear" w:color="auto" w:fill="auto"/>
        <w:kinsoku/>
        <w:wordWrap w:val="0"/>
        <w:overflowPunct/>
        <w:topLinePunct/>
        <w:bidi w:val="0"/>
        <w:adjustRightInd/>
        <w:snapToGrid w:val="0"/>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lang w:val="en-US" w:eastAsia="en-US" w:bidi="ar-SA"/>
        </w:rPr>
        <w:t>（6）</w:t>
      </w:r>
      <w:r>
        <w:rPr>
          <w:rFonts w:hint="eastAsia" w:ascii="宋体" w:hAnsi="宋体" w:eastAsia="宋体" w:cs="宋体"/>
          <w:b/>
          <w:bCs/>
          <w:color w:val="auto"/>
          <w:sz w:val="24"/>
          <w:szCs w:val="24"/>
          <w:highlight w:val="none"/>
        </w:rPr>
        <w:t>定标候选人得分只作为评标委员会的推荐依据，不作为定标委员会对中标候选人排序的依据。</w:t>
      </w:r>
    </w:p>
    <w:p w14:paraId="48382DDA">
      <w:pPr>
        <w:keepNext w:val="0"/>
        <w:keepLines w:val="0"/>
        <w:pageBreakBefore w:val="0"/>
        <w:kinsoku/>
        <w:wordWrap w:val="0"/>
        <w:overflowPunct/>
        <w:topLinePunct/>
        <w:bidi w:val="0"/>
        <w:snapToGrid w:val="0"/>
        <w:spacing w:line="360" w:lineRule="auto"/>
        <w:ind w:left="276" w:right="263" w:hanging="1"/>
        <w:jc w:val="both"/>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15.</w:t>
      </w:r>
      <w:r>
        <w:rPr>
          <w:rFonts w:hint="eastAsia" w:ascii="宋体" w:hAnsi="宋体" w:eastAsia="宋体" w:cs="宋体"/>
          <w:b/>
          <w:bCs/>
          <w:color w:val="auto"/>
          <w:spacing w:val="0"/>
          <w:sz w:val="24"/>
          <w:szCs w:val="24"/>
          <w:highlight w:val="none"/>
          <w:lang w:val="en-US" w:eastAsia="zh-CN"/>
        </w:rPr>
        <w:t>6 推荐定标候选人</w:t>
      </w:r>
    </w:p>
    <w:p w14:paraId="03DDB0AE">
      <w:pPr>
        <w:keepNext w:val="0"/>
        <w:keepLines w:val="0"/>
        <w:pageBreakBefore w:val="0"/>
        <w:shd w:val="clear" w:color="auto" w:fill="auto"/>
        <w:kinsoku/>
        <w:wordWrap w:val="0"/>
        <w:overflowPunct/>
        <w:topLinePunct/>
        <w:bidi w:val="0"/>
        <w:adjustRightInd/>
        <w:spacing w:before="0" w:line="360" w:lineRule="auto"/>
        <w:ind w:left="0" w:right="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sectPr>
          <w:headerReference r:id="rId7" w:type="default"/>
          <w:footerReference r:id="rId8"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z w:val="24"/>
          <w:szCs w:val="24"/>
          <w:highlight w:val="none"/>
        </w:rPr>
        <w:t>评标委员会按照</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评审综合总得分</w:t>
      </w:r>
      <w:r>
        <w:rPr>
          <w:rFonts w:hint="eastAsia" w:ascii="宋体" w:hAnsi="宋体" w:eastAsia="宋体" w:cs="宋体"/>
          <w:color w:val="auto"/>
          <w:sz w:val="24"/>
          <w:szCs w:val="24"/>
          <w:highlight w:val="none"/>
          <w:lang w:eastAsia="zh-CN"/>
        </w:rPr>
        <w:t>由</w:t>
      </w:r>
      <w:r>
        <w:rPr>
          <w:rFonts w:hint="eastAsia" w:ascii="宋体" w:hAnsi="宋体" w:eastAsia="宋体" w:cs="宋体"/>
          <w:color w:val="auto"/>
          <w:sz w:val="24"/>
          <w:szCs w:val="24"/>
          <w:highlight w:val="none"/>
        </w:rPr>
        <w:t>高</w:t>
      </w:r>
      <w:r>
        <w:rPr>
          <w:rFonts w:hint="eastAsia" w:ascii="宋体" w:hAnsi="宋体" w:eastAsia="宋体" w:cs="宋体"/>
          <w:color w:val="auto"/>
          <w:sz w:val="24"/>
          <w:szCs w:val="24"/>
          <w:highlight w:val="none"/>
          <w:lang w:eastAsia="zh-CN"/>
        </w:rPr>
        <w:t>到</w:t>
      </w:r>
      <w:r>
        <w:rPr>
          <w:rFonts w:hint="eastAsia" w:ascii="宋体" w:hAnsi="宋体" w:eastAsia="宋体" w:cs="宋体"/>
          <w:color w:val="auto"/>
          <w:sz w:val="24"/>
          <w:szCs w:val="24"/>
          <w:highlight w:val="none"/>
        </w:rPr>
        <w:t>低的</w:t>
      </w:r>
      <w:r>
        <w:rPr>
          <w:rFonts w:hint="eastAsia" w:ascii="宋体" w:hAnsi="宋体" w:eastAsia="宋体" w:cs="宋体"/>
          <w:color w:val="auto"/>
          <w:sz w:val="24"/>
          <w:szCs w:val="24"/>
          <w:highlight w:val="none"/>
          <w:lang w:eastAsia="zh-CN"/>
        </w:rPr>
        <w:t>原则</w:t>
      </w:r>
      <w:r>
        <w:rPr>
          <w:rFonts w:hint="eastAsia" w:ascii="宋体" w:hAnsi="宋体" w:eastAsia="宋体" w:cs="宋体"/>
          <w:color w:val="auto"/>
          <w:sz w:val="24"/>
          <w:szCs w:val="24"/>
          <w:highlight w:val="none"/>
        </w:rPr>
        <w:t>,向招标人推荐</w:t>
      </w:r>
      <w:r>
        <w:rPr>
          <w:rFonts w:hint="eastAsia" w:ascii="宋体" w:hAnsi="宋体" w:eastAsia="宋体" w:cs="宋体"/>
          <w:color w:val="auto"/>
          <w:sz w:val="24"/>
          <w:szCs w:val="24"/>
          <w:highlight w:val="none"/>
          <w:lang w:val="en-US" w:eastAsia="zh-CN"/>
        </w:rPr>
        <w:t>已明确的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数量</w:t>
      </w:r>
      <w:r>
        <w:rPr>
          <w:rFonts w:hint="eastAsia" w:ascii="宋体" w:hAnsi="宋体" w:eastAsia="宋体" w:cs="宋体"/>
          <w:color w:val="auto"/>
          <w:sz w:val="24"/>
          <w:szCs w:val="24"/>
          <w:highlight w:val="none"/>
        </w:rPr>
        <w:t>（不</w:t>
      </w:r>
      <w:r>
        <w:rPr>
          <w:rFonts w:hint="eastAsia" w:ascii="宋体" w:hAnsi="宋体" w:eastAsia="宋体" w:cs="宋体"/>
          <w:color w:val="auto"/>
          <w:sz w:val="24"/>
          <w:szCs w:val="24"/>
          <w:highlight w:val="none"/>
          <w:lang w:val="en-US" w:eastAsia="zh-CN"/>
        </w:rPr>
        <w:t>标明</w:t>
      </w:r>
      <w:r>
        <w:rPr>
          <w:rFonts w:hint="eastAsia" w:ascii="宋体" w:hAnsi="宋体" w:eastAsia="宋体" w:cs="宋体"/>
          <w:color w:val="auto"/>
          <w:sz w:val="24"/>
          <w:szCs w:val="24"/>
          <w:highlight w:val="none"/>
        </w:rPr>
        <w:t>排序）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评标委员会推荐定标候选人后，</w:t>
      </w:r>
      <w:r>
        <w:rPr>
          <w:rFonts w:hint="eastAsia" w:ascii="宋体" w:hAnsi="宋体" w:eastAsia="宋体" w:cs="宋体"/>
          <w:color w:val="auto"/>
          <w:sz w:val="24"/>
          <w:szCs w:val="24"/>
          <w:highlight w:val="none"/>
        </w:rPr>
        <w:t>招标人应</w:t>
      </w:r>
      <w:r>
        <w:rPr>
          <w:rFonts w:hint="eastAsia" w:ascii="宋体" w:hAnsi="宋体" w:eastAsia="宋体" w:cs="宋体"/>
          <w:color w:val="auto"/>
          <w:sz w:val="24"/>
          <w:szCs w:val="24"/>
          <w:highlight w:val="none"/>
          <w:lang w:eastAsia="zh-CN"/>
        </w:rPr>
        <w:t>于评标会结束后</w:t>
      </w:r>
      <w:r>
        <w:rPr>
          <w:rFonts w:hint="eastAsia" w:ascii="宋体" w:hAnsi="宋体" w:eastAsia="宋体" w:cs="宋体"/>
          <w:color w:val="auto"/>
          <w:sz w:val="24"/>
          <w:szCs w:val="24"/>
          <w:highlight w:val="none"/>
          <w:lang w:val="en-US" w:eastAsia="zh-CN"/>
        </w:rPr>
        <w:t>3日内将</w:t>
      </w: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标候选</w:t>
      </w:r>
      <w:r>
        <w:rPr>
          <w:rFonts w:hint="eastAsia" w:ascii="宋体" w:hAnsi="宋体" w:eastAsia="宋体" w:cs="宋体"/>
          <w:color w:val="auto"/>
          <w:sz w:val="24"/>
          <w:szCs w:val="24"/>
          <w:highlight w:val="none"/>
          <w:lang w:eastAsia="zh-CN"/>
        </w:rPr>
        <w:t>人和评标情况</w:t>
      </w:r>
      <w:r>
        <w:rPr>
          <w:rFonts w:hint="eastAsia" w:ascii="宋体" w:hAnsi="宋体" w:eastAsia="宋体" w:cs="宋体"/>
          <w:color w:val="auto"/>
          <w:sz w:val="24"/>
          <w:szCs w:val="24"/>
          <w:highlight w:val="none"/>
          <w:lang w:val="en-US" w:eastAsia="zh-CN"/>
        </w:rPr>
        <w:t>在广东省招标投标监管网和</w:t>
      </w:r>
      <w:r>
        <w:rPr>
          <w:rFonts w:hint="eastAsia" w:ascii="宋体" w:hAnsi="宋体" w:eastAsia="宋体" w:cs="宋体"/>
          <w:color w:val="auto"/>
          <w:sz w:val="24"/>
          <w:szCs w:val="24"/>
          <w:highlight w:val="none"/>
        </w:rPr>
        <w:t>韶关市公共资源交易中心</w:t>
      </w:r>
      <w:r>
        <w:rPr>
          <w:rFonts w:hint="eastAsia" w:ascii="宋体" w:hAnsi="宋体" w:eastAsia="宋体" w:cs="宋体"/>
          <w:color w:val="auto"/>
          <w:sz w:val="24"/>
          <w:szCs w:val="24"/>
          <w:highlight w:val="none"/>
          <w:lang w:eastAsia="zh-CN"/>
        </w:rPr>
        <w:t>建设工程交易系统</w:t>
      </w:r>
      <w:r>
        <w:rPr>
          <w:rFonts w:hint="eastAsia" w:ascii="宋体" w:hAnsi="宋体" w:eastAsia="宋体" w:cs="宋体"/>
          <w:color w:val="auto"/>
          <w:sz w:val="24"/>
          <w:szCs w:val="24"/>
          <w:highlight w:val="none"/>
          <w:lang w:val="en-US" w:eastAsia="zh-CN"/>
        </w:rPr>
        <w:t>上</w:t>
      </w:r>
      <w:r>
        <w:rPr>
          <w:rFonts w:hint="eastAsia" w:ascii="宋体" w:hAnsi="宋体" w:eastAsia="宋体" w:cs="宋体"/>
          <w:color w:val="auto"/>
          <w:sz w:val="24"/>
          <w:szCs w:val="24"/>
          <w:highlight w:val="none"/>
        </w:rPr>
        <w:t>公示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公示时间不少于3日。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114B1948">
      <w:pPr>
        <w:keepNext w:val="0"/>
        <w:keepLines w:val="0"/>
        <w:pageBreakBefore w:val="0"/>
        <w:kinsoku/>
        <w:wordWrap w:val="0"/>
        <w:overflowPunct/>
        <w:topLinePunct/>
        <w:bidi w:val="0"/>
        <w:rPr>
          <w:rFonts w:hint="eastAsia" w:ascii="宋体" w:hAnsi="宋体" w:eastAsia="宋体" w:cs="宋体"/>
          <w:b/>
          <w:bCs/>
          <w:color w:val="auto"/>
          <w:spacing w:val="0"/>
          <w:sz w:val="30"/>
          <w:szCs w:val="30"/>
          <w:highlight w:val="none"/>
        </w:rPr>
      </w:pPr>
      <w:bookmarkStart w:id="118" w:name="_Toc16801"/>
      <w:bookmarkStart w:id="119" w:name="_Toc3020"/>
      <w:bookmarkStart w:id="120" w:name="_Toc17375"/>
    </w:p>
    <w:p w14:paraId="6F8F79B7">
      <w:pPr>
        <w:keepNext w:val="0"/>
        <w:keepLines w:val="0"/>
        <w:pageBreakBefore w:val="0"/>
        <w:widowControl/>
        <w:kinsoku/>
        <w:wordWrap w:val="0"/>
        <w:overflowPunct/>
        <w:topLinePunct/>
        <w:autoSpaceDE w:val="0"/>
        <w:autoSpaceDN w:val="0"/>
        <w:bidi w:val="0"/>
        <w:adjustRightInd w:val="0"/>
        <w:snapToGrid w:val="0"/>
        <w:spacing w:before="98" w:after="0" w:afterLines="50" w:line="221" w:lineRule="auto"/>
        <w:jc w:val="center"/>
        <w:textAlignment w:val="baseline"/>
        <w:outlineLvl w:val="9"/>
        <w:rPr>
          <w:rFonts w:hint="eastAsia" w:ascii="宋体" w:hAnsi="宋体" w:eastAsia="宋体" w:cs="宋体"/>
          <w:b/>
          <w:bCs/>
          <w:color w:val="auto"/>
          <w:spacing w:val="0"/>
          <w:sz w:val="30"/>
          <w:szCs w:val="30"/>
          <w:highlight w:val="none"/>
        </w:rPr>
      </w:pPr>
      <w:r>
        <w:rPr>
          <w:rFonts w:hint="eastAsia" w:ascii="宋体" w:hAnsi="宋体" w:eastAsia="宋体" w:cs="宋体"/>
          <w:b/>
          <w:bCs/>
          <w:color w:val="auto"/>
          <w:spacing w:val="0"/>
          <w:sz w:val="30"/>
          <w:szCs w:val="30"/>
          <w:highlight w:val="none"/>
        </w:rPr>
        <w:t>综合评分表</w:t>
      </w:r>
      <w:bookmarkEnd w:id="118"/>
      <w:bookmarkEnd w:id="119"/>
      <w:bookmarkEnd w:id="120"/>
    </w:p>
    <w:tbl>
      <w:tblPr>
        <w:tblStyle w:val="16"/>
        <w:tblW w:w="94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92"/>
        <w:gridCol w:w="3715"/>
        <w:gridCol w:w="4527"/>
      </w:tblGrid>
      <w:tr w14:paraId="3E3C7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434" w:type="dxa"/>
            <w:gridSpan w:val="3"/>
            <w:tcBorders>
              <w:top w:val="single" w:color="auto" w:sz="4" w:space="0"/>
              <w:left w:val="single" w:color="auto" w:sz="4" w:space="0"/>
              <w:bottom w:val="single" w:color="auto" w:sz="4" w:space="0"/>
              <w:right w:val="single" w:color="auto" w:sz="4" w:space="0"/>
            </w:tcBorders>
            <w:shd w:val="clear" w:color="auto" w:fill="D7D7D7"/>
            <w:vAlign w:val="center"/>
          </w:tcPr>
          <w:p w14:paraId="6F1BA791">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bookmarkStart w:id="121" w:name="_Toc9725"/>
            <w:bookmarkStart w:id="122" w:name="_Toc17436"/>
            <w:bookmarkStart w:id="123" w:name="_Toc31744"/>
            <w:bookmarkStart w:id="124" w:name="_Toc5769"/>
            <w:r>
              <w:rPr>
                <w:rFonts w:hint="eastAsia" w:ascii="宋体" w:hAnsi="宋体" w:eastAsia="宋体" w:cs="宋体"/>
                <w:b/>
                <w:bCs/>
                <w:snapToGrid w:val="0"/>
                <w:color w:val="auto"/>
                <w:kern w:val="0"/>
                <w:sz w:val="24"/>
                <w:szCs w:val="24"/>
                <w:highlight w:val="none"/>
                <w:lang w:val="en-US" w:eastAsia="zh-CN" w:bidi="ar"/>
              </w:rPr>
              <w:t>商务部分，满分：</w:t>
            </w:r>
            <w:r>
              <w:rPr>
                <w:rFonts w:hint="eastAsia" w:ascii="宋体" w:hAnsi="宋体" w:eastAsia="宋体" w:cs="宋体"/>
                <w:b/>
                <w:bCs/>
                <w:snapToGrid w:val="0"/>
                <w:color w:val="auto"/>
                <w:kern w:val="0"/>
                <w:sz w:val="24"/>
                <w:szCs w:val="24"/>
                <w:highlight w:val="none"/>
                <w:u w:val="single"/>
                <w:lang w:val="en-US" w:eastAsia="zh-CN" w:bidi="ar"/>
              </w:rPr>
              <w:t xml:space="preserve"> 80 </w:t>
            </w:r>
            <w:r>
              <w:rPr>
                <w:rFonts w:hint="eastAsia" w:ascii="宋体" w:hAnsi="宋体" w:eastAsia="宋体" w:cs="宋体"/>
                <w:b/>
                <w:bCs/>
                <w:snapToGrid w:val="0"/>
                <w:color w:val="auto"/>
                <w:kern w:val="0"/>
                <w:sz w:val="24"/>
                <w:szCs w:val="24"/>
                <w:highlight w:val="none"/>
                <w:lang w:val="en-US" w:eastAsia="zh-CN" w:bidi="ar"/>
              </w:rPr>
              <w:t>分。</w:t>
            </w:r>
          </w:p>
        </w:tc>
      </w:tr>
      <w:tr w14:paraId="7D0CD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20E49650">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评分因素</w:t>
            </w:r>
          </w:p>
        </w:tc>
        <w:tc>
          <w:tcPr>
            <w:tcW w:w="3715" w:type="dxa"/>
            <w:tcBorders>
              <w:top w:val="single" w:color="auto" w:sz="4" w:space="0"/>
              <w:left w:val="nil"/>
              <w:bottom w:val="single" w:color="auto" w:sz="4" w:space="0"/>
              <w:right w:val="single" w:color="auto" w:sz="4" w:space="0"/>
            </w:tcBorders>
            <w:shd w:val="clear" w:color="auto" w:fill="auto"/>
            <w:vAlign w:val="center"/>
          </w:tcPr>
          <w:p w14:paraId="0B00298C">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评分标准</w:t>
            </w:r>
          </w:p>
        </w:tc>
        <w:tc>
          <w:tcPr>
            <w:tcW w:w="4527" w:type="dxa"/>
            <w:tcBorders>
              <w:top w:val="single" w:color="auto" w:sz="4" w:space="0"/>
              <w:left w:val="nil"/>
              <w:bottom w:val="single" w:color="auto" w:sz="4" w:space="0"/>
              <w:right w:val="single" w:color="auto" w:sz="4" w:space="0"/>
            </w:tcBorders>
            <w:shd w:val="clear" w:color="auto" w:fill="auto"/>
            <w:vAlign w:val="center"/>
          </w:tcPr>
          <w:p w14:paraId="3908F87D">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备注</w:t>
            </w:r>
          </w:p>
        </w:tc>
      </w:tr>
      <w:tr w14:paraId="68F89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5571A743">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right="0" w:firstLine="0" w:firstLineChars="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项目经理</w:t>
            </w:r>
          </w:p>
          <w:p w14:paraId="4E304E18">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right="0" w:firstLine="0" w:firstLineChars="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综合素质</w:t>
            </w:r>
          </w:p>
          <w:p w14:paraId="5AE157E6">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right="0" w:firstLine="0" w:firstLineChars="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（10分）</w:t>
            </w:r>
          </w:p>
        </w:tc>
        <w:tc>
          <w:tcPr>
            <w:tcW w:w="3715" w:type="dxa"/>
            <w:tcBorders>
              <w:top w:val="single" w:color="auto" w:sz="4" w:space="0"/>
              <w:left w:val="nil"/>
              <w:bottom w:val="single" w:color="auto" w:sz="4" w:space="0"/>
              <w:right w:val="single" w:color="auto" w:sz="4" w:space="0"/>
            </w:tcBorders>
            <w:shd w:val="clear" w:color="auto" w:fill="auto"/>
            <w:vAlign w:val="center"/>
          </w:tcPr>
          <w:p w14:paraId="64131B04">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项目经理工程类技术职称及近 </w:t>
            </w:r>
            <w:r>
              <w:rPr>
                <w:rFonts w:hint="eastAsia" w:ascii="宋体" w:hAnsi="宋体" w:eastAsia="宋体" w:cs="宋体"/>
                <w:b w:val="0"/>
                <w:bCs w:val="0"/>
                <w:snapToGrid w:val="0"/>
                <w:color w:val="auto"/>
                <w:kern w:val="0"/>
                <w:sz w:val="24"/>
                <w:szCs w:val="24"/>
                <w:highlight w:val="none"/>
                <w:u w:val="single"/>
                <w:lang w:val="en-US" w:eastAsia="zh-CN"/>
              </w:rPr>
              <w:t>5</w:t>
            </w:r>
            <w:r>
              <w:rPr>
                <w:rFonts w:hint="eastAsia" w:ascii="宋体" w:hAnsi="宋体" w:eastAsia="宋体" w:cs="宋体"/>
                <w:b w:val="0"/>
                <w:bCs w:val="0"/>
                <w:snapToGrid w:val="0"/>
                <w:color w:val="auto"/>
                <w:kern w:val="0"/>
                <w:sz w:val="24"/>
                <w:szCs w:val="24"/>
                <w:highlight w:val="none"/>
                <w:lang w:val="en-US" w:eastAsia="zh-CN"/>
              </w:rPr>
              <w:t xml:space="preserve">年来（2021年1月1日至今）业绩情况： </w:t>
            </w:r>
          </w:p>
          <w:p w14:paraId="3AEE83A4">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1．具备高级工程师以上职称且担任过类似工程项目经理的，得</w:t>
            </w:r>
            <w:r>
              <w:rPr>
                <w:rFonts w:hint="eastAsia" w:ascii="宋体" w:hAnsi="宋体" w:eastAsia="宋体" w:cs="宋体"/>
                <w:b w:val="0"/>
                <w:bCs w:val="0"/>
                <w:snapToGrid w:val="0"/>
                <w:color w:val="auto"/>
                <w:kern w:val="0"/>
                <w:sz w:val="24"/>
                <w:szCs w:val="24"/>
                <w:highlight w:val="none"/>
                <w:u w:val="single"/>
                <w:lang w:val="en-US" w:eastAsia="zh-CN"/>
              </w:rPr>
              <w:t xml:space="preserve"> 10 </w:t>
            </w:r>
            <w:r>
              <w:rPr>
                <w:rFonts w:hint="eastAsia" w:ascii="宋体" w:hAnsi="宋体" w:eastAsia="宋体" w:cs="宋体"/>
                <w:b w:val="0"/>
                <w:bCs w:val="0"/>
                <w:snapToGrid w:val="0"/>
                <w:color w:val="auto"/>
                <w:kern w:val="0"/>
                <w:sz w:val="24"/>
                <w:szCs w:val="24"/>
                <w:highlight w:val="none"/>
                <w:lang w:val="en-US" w:eastAsia="zh-CN"/>
              </w:rPr>
              <w:t xml:space="preserve">分。 </w:t>
            </w:r>
          </w:p>
          <w:p w14:paraId="652E132C">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2．具备工程师职称且担任过类似工程项目经理的，得</w:t>
            </w:r>
            <w:r>
              <w:rPr>
                <w:rFonts w:hint="eastAsia" w:ascii="宋体" w:hAnsi="宋体" w:eastAsia="宋体" w:cs="宋体"/>
                <w:b w:val="0"/>
                <w:bCs w:val="0"/>
                <w:snapToGrid w:val="0"/>
                <w:color w:val="auto"/>
                <w:kern w:val="0"/>
                <w:sz w:val="24"/>
                <w:szCs w:val="24"/>
                <w:highlight w:val="none"/>
                <w:u w:val="single"/>
                <w:lang w:val="en-US" w:eastAsia="zh-CN"/>
              </w:rPr>
              <w:t xml:space="preserve"> 8 </w:t>
            </w:r>
            <w:r>
              <w:rPr>
                <w:rFonts w:hint="eastAsia" w:ascii="宋体" w:hAnsi="宋体" w:eastAsia="宋体" w:cs="宋体"/>
                <w:b w:val="0"/>
                <w:bCs w:val="0"/>
                <w:snapToGrid w:val="0"/>
                <w:color w:val="auto"/>
                <w:kern w:val="0"/>
                <w:sz w:val="24"/>
                <w:szCs w:val="24"/>
                <w:highlight w:val="none"/>
                <w:lang w:val="en-US" w:eastAsia="zh-CN"/>
              </w:rPr>
              <w:t xml:space="preserve">分。 </w:t>
            </w:r>
          </w:p>
          <w:p w14:paraId="114BBF96">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3．具备助理工程师职称且担任过类似工程项目经理的，得</w:t>
            </w:r>
            <w:r>
              <w:rPr>
                <w:rFonts w:hint="eastAsia" w:ascii="宋体" w:hAnsi="宋体" w:eastAsia="宋体" w:cs="宋体"/>
                <w:b w:val="0"/>
                <w:bCs w:val="0"/>
                <w:snapToGrid w:val="0"/>
                <w:color w:val="auto"/>
                <w:kern w:val="0"/>
                <w:sz w:val="24"/>
                <w:szCs w:val="24"/>
                <w:highlight w:val="none"/>
                <w:u w:val="single"/>
                <w:lang w:val="en-US" w:eastAsia="zh-CN"/>
              </w:rPr>
              <w:t xml:space="preserve"> 5 </w:t>
            </w:r>
            <w:r>
              <w:rPr>
                <w:rFonts w:hint="eastAsia" w:ascii="宋体" w:hAnsi="宋体" w:eastAsia="宋体" w:cs="宋体"/>
                <w:b w:val="0"/>
                <w:bCs w:val="0"/>
                <w:snapToGrid w:val="0"/>
                <w:color w:val="auto"/>
                <w:kern w:val="0"/>
                <w:sz w:val="24"/>
                <w:szCs w:val="24"/>
                <w:highlight w:val="none"/>
                <w:lang w:val="en-US" w:eastAsia="zh-CN"/>
              </w:rPr>
              <w:t>分。</w:t>
            </w:r>
          </w:p>
          <w:p w14:paraId="6EAD2D8C">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4．具备高级工程师以上职称但未担任过类似工程项目经理的，得 </w:t>
            </w:r>
            <w:r>
              <w:rPr>
                <w:rFonts w:hint="eastAsia" w:ascii="宋体" w:hAnsi="宋体" w:eastAsia="宋体" w:cs="宋体"/>
                <w:b w:val="0"/>
                <w:bCs w:val="0"/>
                <w:snapToGrid w:val="0"/>
                <w:color w:val="auto"/>
                <w:kern w:val="0"/>
                <w:sz w:val="24"/>
                <w:szCs w:val="24"/>
                <w:highlight w:val="none"/>
                <w:u w:val="single"/>
                <w:lang w:val="en-US" w:eastAsia="zh-CN"/>
              </w:rPr>
              <w:t xml:space="preserve">6 </w:t>
            </w:r>
            <w:r>
              <w:rPr>
                <w:rFonts w:hint="eastAsia" w:ascii="宋体" w:hAnsi="宋体" w:eastAsia="宋体" w:cs="宋体"/>
                <w:b w:val="0"/>
                <w:bCs w:val="0"/>
                <w:snapToGrid w:val="0"/>
                <w:color w:val="auto"/>
                <w:kern w:val="0"/>
                <w:sz w:val="24"/>
                <w:szCs w:val="24"/>
                <w:highlight w:val="none"/>
                <w:lang w:val="en-US" w:eastAsia="zh-CN"/>
              </w:rPr>
              <w:t xml:space="preserve">分。 </w:t>
            </w:r>
          </w:p>
          <w:p w14:paraId="6D5604D3">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5．具备工程师职称但未担任过类似工程项目经理的，得</w:t>
            </w:r>
            <w:r>
              <w:rPr>
                <w:rFonts w:hint="eastAsia" w:ascii="宋体" w:hAnsi="宋体" w:eastAsia="宋体" w:cs="宋体"/>
                <w:b w:val="0"/>
                <w:bCs w:val="0"/>
                <w:snapToGrid w:val="0"/>
                <w:color w:val="auto"/>
                <w:kern w:val="0"/>
                <w:sz w:val="24"/>
                <w:szCs w:val="24"/>
                <w:highlight w:val="none"/>
                <w:u w:val="single"/>
                <w:lang w:val="en-US" w:eastAsia="zh-CN"/>
              </w:rPr>
              <w:t xml:space="preserve"> 4 </w:t>
            </w:r>
            <w:r>
              <w:rPr>
                <w:rFonts w:hint="eastAsia" w:ascii="宋体" w:hAnsi="宋体" w:eastAsia="宋体" w:cs="宋体"/>
                <w:b w:val="0"/>
                <w:bCs w:val="0"/>
                <w:snapToGrid w:val="0"/>
                <w:color w:val="auto"/>
                <w:kern w:val="0"/>
                <w:sz w:val="24"/>
                <w:szCs w:val="24"/>
                <w:highlight w:val="none"/>
                <w:lang w:val="en-US" w:eastAsia="zh-CN"/>
              </w:rPr>
              <w:t>分。</w:t>
            </w:r>
          </w:p>
          <w:p w14:paraId="6904EC24">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6．具备助理工程师职称但未担任过类似工程项目经理的，得</w:t>
            </w:r>
            <w:r>
              <w:rPr>
                <w:rFonts w:hint="eastAsia" w:ascii="宋体" w:hAnsi="宋体" w:eastAsia="宋体" w:cs="宋体"/>
                <w:b w:val="0"/>
                <w:bCs w:val="0"/>
                <w:snapToGrid w:val="0"/>
                <w:color w:val="auto"/>
                <w:kern w:val="0"/>
                <w:sz w:val="24"/>
                <w:szCs w:val="24"/>
                <w:highlight w:val="none"/>
                <w:u w:val="single"/>
                <w:lang w:val="en-US" w:eastAsia="zh-CN"/>
              </w:rPr>
              <w:t xml:space="preserve"> 1 </w:t>
            </w:r>
            <w:r>
              <w:rPr>
                <w:rFonts w:hint="eastAsia" w:ascii="宋体" w:hAnsi="宋体" w:eastAsia="宋体" w:cs="宋体"/>
                <w:b w:val="0"/>
                <w:bCs w:val="0"/>
                <w:snapToGrid w:val="0"/>
                <w:color w:val="auto"/>
                <w:kern w:val="0"/>
                <w:sz w:val="24"/>
                <w:szCs w:val="24"/>
                <w:highlight w:val="none"/>
                <w:lang w:val="en-US" w:eastAsia="zh-CN"/>
              </w:rPr>
              <w:t>分。</w:t>
            </w:r>
          </w:p>
          <w:p w14:paraId="5F2F96AF">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7．以上条件均不符合的，不予计分。</w:t>
            </w:r>
          </w:p>
        </w:tc>
        <w:tc>
          <w:tcPr>
            <w:tcW w:w="4527" w:type="dxa"/>
            <w:tcBorders>
              <w:top w:val="single" w:color="auto" w:sz="4" w:space="0"/>
              <w:left w:val="nil"/>
              <w:bottom w:val="single" w:color="auto" w:sz="4" w:space="0"/>
              <w:right w:val="single" w:color="auto" w:sz="4" w:space="0"/>
            </w:tcBorders>
            <w:shd w:val="clear" w:color="auto" w:fill="auto"/>
            <w:vAlign w:val="center"/>
          </w:tcPr>
          <w:p w14:paraId="49F7FBDD">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1．类似工程指：10kV或以上电压等级的电力工程施工。 </w:t>
            </w:r>
          </w:p>
          <w:p w14:paraId="67E36F2D">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2.需附职称证彩色扫描件。</w:t>
            </w:r>
          </w:p>
          <w:p w14:paraId="19891331">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3．需附有关业绩（仅限于以项目经理身份参与、且已竣工验收的项目）合同协议书和竣工验收报告的彩色扫描件。</w:t>
            </w:r>
          </w:p>
          <w:p w14:paraId="6C5CD3B9">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4．业绩时间以竣工验收报告日期为准。</w:t>
            </w:r>
          </w:p>
          <w:p w14:paraId="1225E554">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5．业绩有以下情形之一的，视为未担任过类似工程项目经理：</w:t>
            </w:r>
          </w:p>
          <w:p w14:paraId="1648557E">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①业绩不属于类似工程的；</w:t>
            </w:r>
          </w:p>
          <w:p w14:paraId="26321685">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②不是以指定身份参与的；</w:t>
            </w:r>
          </w:p>
          <w:p w14:paraId="7003D3CD">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③业绩时间不符合要求的；</w:t>
            </w:r>
          </w:p>
          <w:p w14:paraId="50BDF4CE">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jc w:val="both"/>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④业绩未竣工验收的。</w:t>
            </w:r>
          </w:p>
        </w:tc>
      </w:tr>
      <w:tr w14:paraId="4ED22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041C5268">
            <w:pPr>
              <w:keepNext w:val="0"/>
              <w:keepLines w:val="0"/>
              <w:widowControl/>
              <w:suppressLineNumbers w:val="0"/>
              <w:autoSpaceDE w:val="0"/>
              <w:autoSpaceDN/>
              <w:adjustRightInd w:val="0"/>
              <w:snapToGrid w:val="0"/>
              <w:spacing w:before="0" w:beforeAutospacing="0" w:after="0" w:afterLines="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2"/>
                <w:sz w:val="24"/>
                <w:szCs w:val="24"/>
                <w:highlight w:val="none"/>
                <w:lang w:val="en-US" w:eastAsia="zh-CN" w:bidi="ar"/>
              </w:rPr>
              <w:t>企业业绩（10分）</w:t>
            </w:r>
          </w:p>
        </w:tc>
        <w:tc>
          <w:tcPr>
            <w:tcW w:w="3715" w:type="dxa"/>
            <w:tcBorders>
              <w:top w:val="single" w:color="auto" w:sz="4" w:space="0"/>
              <w:left w:val="nil"/>
              <w:bottom w:val="single" w:color="auto" w:sz="4" w:space="0"/>
              <w:right w:val="single" w:color="auto" w:sz="4" w:space="0"/>
            </w:tcBorders>
            <w:shd w:val="clear" w:color="auto" w:fill="auto"/>
            <w:vAlign w:val="center"/>
          </w:tcPr>
          <w:p w14:paraId="189167E0">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企业近</w:t>
            </w:r>
            <w:r>
              <w:rPr>
                <w:rFonts w:hint="eastAsia" w:ascii="宋体" w:hAnsi="宋体" w:eastAsia="宋体" w:cs="宋体"/>
                <w:snapToGrid w:val="0"/>
                <w:color w:val="auto"/>
                <w:kern w:val="0"/>
                <w:sz w:val="24"/>
                <w:szCs w:val="24"/>
                <w:highlight w:val="none"/>
                <w:u w:val="single"/>
                <w:lang w:val="en-US" w:eastAsia="zh-CN" w:bidi="ar"/>
              </w:rPr>
              <w:t xml:space="preserve"> </w:t>
            </w:r>
            <w:r>
              <w:rPr>
                <w:rFonts w:hint="eastAsia" w:ascii="宋体" w:hAnsi="宋体" w:eastAsia="宋体" w:cs="宋体"/>
                <w:b w:val="0"/>
                <w:bCs w:val="0"/>
                <w:snapToGrid w:val="0"/>
                <w:color w:val="auto"/>
                <w:kern w:val="0"/>
                <w:sz w:val="24"/>
                <w:szCs w:val="24"/>
                <w:highlight w:val="none"/>
                <w:u w:val="single"/>
                <w:lang w:val="en-US" w:eastAsia="zh-CN" w:bidi="ar"/>
              </w:rPr>
              <w:t>5</w:t>
            </w:r>
            <w:r>
              <w:rPr>
                <w:rFonts w:hint="eastAsia" w:ascii="宋体" w:hAnsi="宋体" w:eastAsia="宋体" w:cs="宋体"/>
                <w:snapToGrid w:val="0"/>
                <w:color w:val="auto"/>
                <w:kern w:val="0"/>
                <w:sz w:val="24"/>
                <w:szCs w:val="24"/>
                <w:highlight w:val="none"/>
                <w:u w:val="single"/>
                <w:lang w:val="en-US" w:eastAsia="zh-CN" w:bidi="ar"/>
              </w:rPr>
              <w:t xml:space="preserve"> </w:t>
            </w:r>
            <w:r>
              <w:rPr>
                <w:rFonts w:hint="eastAsia" w:ascii="宋体" w:hAnsi="宋体" w:eastAsia="宋体" w:cs="宋体"/>
                <w:snapToGrid w:val="0"/>
                <w:color w:val="auto"/>
                <w:kern w:val="0"/>
                <w:sz w:val="24"/>
                <w:szCs w:val="24"/>
                <w:highlight w:val="none"/>
                <w:lang w:val="en-US" w:eastAsia="zh-CN" w:bidi="ar"/>
              </w:rPr>
              <w:t>年来（2021年1月1日至今）业绩情况：</w:t>
            </w:r>
          </w:p>
          <w:p w14:paraId="24C5AEAC">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w:t>
            </w:r>
            <w:r>
              <w:rPr>
                <w:rFonts w:hint="eastAsia" w:ascii="宋体" w:hAnsi="宋体" w:eastAsia="宋体" w:cs="宋体"/>
                <w:snapToGrid w:val="0"/>
                <w:color w:val="auto"/>
                <w:kern w:val="0"/>
                <w:sz w:val="24"/>
                <w:szCs w:val="24"/>
                <w:highlight w:val="none"/>
                <w:u w:val="single"/>
                <w:lang w:val="en-US" w:eastAsia="zh-CN" w:bidi="ar"/>
              </w:rPr>
              <w:t xml:space="preserve"> 完成 </w:t>
            </w:r>
            <w:r>
              <w:rPr>
                <w:rFonts w:hint="eastAsia" w:ascii="宋体" w:hAnsi="宋体" w:eastAsia="宋体" w:cs="宋体"/>
                <w:snapToGrid w:val="0"/>
                <w:color w:val="auto"/>
                <w:kern w:val="0"/>
                <w:sz w:val="24"/>
                <w:szCs w:val="24"/>
                <w:highlight w:val="none"/>
                <w:lang w:val="en-US" w:eastAsia="zh-CN" w:bidi="ar"/>
              </w:rPr>
              <w:t>过类似工程的，每个得</w:t>
            </w:r>
            <w:r>
              <w:rPr>
                <w:rFonts w:hint="eastAsia" w:ascii="宋体" w:hAnsi="宋体" w:eastAsia="宋体" w:cs="宋体"/>
                <w:snapToGrid w:val="0"/>
                <w:color w:val="auto"/>
                <w:kern w:val="0"/>
                <w:sz w:val="24"/>
                <w:szCs w:val="24"/>
                <w:highlight w:val="none"/>
                <w:u w:val="single"/>
                <w:lang w:val="en-US" w:eastAsia="zh-CN" w:bidi="ar"/>
              </w:rPr>
              <w:t>2</w:t>
            </w:r>
            <w:r>
              <w:rPr>
                <w:rFonts w:hint="eastAsia" w:ascii="宋体" w:hAnsi="宋体" w:eastAsia="宋体" w:cs="宋体"/>
                <w:snapToGrid w:val="0"/>
                <w:color w:val="auto"/>
                <w:kern w:val="0"/>
                <w:sz w:val="24"/>
                <w:szCs w:val="24"/>
                <w:highlight w:val="none"/>
                <w:lang w:val="en-US" w:eastAsia="zh-CN" w:bidi="ar"/>
              </w:rPr>
              <w:t>分。</w:t>
            </w:r>
          </w:p>
          <w:p w14:paraId="1CF3BCE4">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2．未</w:t>
            </w:r>
            <w:r>
              <w:rPr>
                <w:rFonts w:hint="eastAsia" w:ascii="宋体" w:hAnsi="宋体" w:eastAsia="宋体" w:cs="宋体"/>
                <w:snapToGrid w:val="0"/>
                <w:color w:val="auto"/>
                <w:kern w:val="0"/>
                <w:sz w:val="24"/>
                <w:szCs w:val="24"/>
                <w:highlight w:val="none"/>
                <w:u w:val="single"/>
                <w:lang w:val="en-US" w:eastAsia="zh-CN" w:bidi="ar"/>
              </w:rPr>
              <w:t xml:space="preserve"> 完成 </w:t>
            </w:r>
            <w:r>
              <w:rPr>
                <w:rFonts w:hint="eastAsia" w:ascii="宋体" w:hAnsi="宋体" w:eastAsia="宋体" w:cs="宋体"/>
                <w:snapToGrid w:val="0"/>
                <w:color w:val="auto"/>
                <w:kern w:val="0"/>
                <w:sz w:val="24"/>
                <w:szCs w:val="24"/>
                <w:highlight w:val="none"/>
                <w:lang w:val="en-US" w:eastAsia="zh-CN" w:bidi="ar"/>
              </w:rPr>
              <w:t>过类似工程的，不予计分。</w:t>
            </w:r>
          </w:p>
          <w:p w14:paraId="006BEE86">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 xml:space="preserve">3．本项最高得10分。 </w:t>
            </w:r>
          </w:p>
        </w:tc>
        <w:tc>
          <w:tcPr>
            <w:tcW w:w="4527" w:type="dxa"/>
            <w:tcBorders>
              <w:top w:val="single" w:color="auto" w:sz="4" w:space="0"/>
              <w:left w:val="nil"/>
              <w:bottom w:val="single" w:color="auto" w:sz="4" w:space="0"/>
              <w:right w:val="single" w:color="auto" w:sz="4" w:space="0"/>
            </w:tcBorders>
            <w:shd w:val="clear" w:color="auto" w:fill="auto"/>
            <w:vAlign w:val="center"/>
          </w:tcPr>
          <w:p w14:paraId="0D7481C5">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1.类似工程指：单项合同总价≥600万元且10kV或以上电压等级的电力工程施工。</w:t>
            </w:r>
          </w:p>
          <w:p w14:paraId="4CABE50E">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2．需附有关业绩（仅限于以施工总承包单位身份参建的项目）合同协议书和竣工验收报告的彩色扫描件。</w:t>
            </w:r>
          </w:p>
          <w:p w14:paraId="5EFC02B4">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3.业绩时间以竣工验收报告日期为准。</w:t>
            </w:r>
          </w:p>
          <w:p w14:paraId="71FF516E">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4.任一业绩有以下情形之一的，该业绩视为无效，不予计分：</w:t>
            </w:r>
          </w:p>
          <w:p w14:paraId="2A076560">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①未提供业绩证明材料原件的；</w:t>
            </w:r>
          </w:p>
          <w:p w14:paraId="2E5927B9">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②业绩不属于类似工程的；</w:t>
            </w:r>
          </w:p>
          <w:p w14:paraId="63069942">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③不是以指定身份参建的；</w:t>
            </w:r>
          </w:p>
          <w:p w14:paraId="14EBED09">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④业绩时间不符合要求的；</w:t>
            </w:r>
          </w:p>
          <w:p w14:paraId="46DEB5F9">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b w:val="0"/>
                <w:bCs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⑤业绩未竣工验收的。</w:t>
            </w:r>
          </w:p>
        </w:tc>
      </w:tr>
      <w:tr w14:paraId="56316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41924322">
            <w:pPr>
              <w:keepNext w:val="0"/>
              <w:keepLines w:val="0"/>
              <w:widowControl/>
              <w:suppressLineNumbers w:val="0"/>
              <w:autoSpaceDE w:val="0"/>
              <w:autoSpaceDN/>
              <w:adjustRightInd w:val="0"/>
              <w:snapToGrid w:val="0"/>
              <w:spacing w:before="0" w:beforeAutospacing="0" w:after="0" w:afterLines="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项目团队人员</w:t>
            </w:r>
          </w:p>
          <w:p w14:paraId="10A9823F">
            <w:pPr>
              <w:keepNext w:val="0"/>
              <w:keepLines w:val="0"/>
              <w:widowControl/>
              <w:suppressLineNumbers w:val="0"/>
              <w:autoSpaceDE w:val="0"/>
              <w:autoSpaceDN/>
              <w:adjustRightInd w:val="0"/>
              <w:snapToGrid w:val="0"/>
              <w:spacing w:before="0" w:beforeAutospacing="0" w:after="0" w:afterLines="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（17分）</w:t>
            </w:r>
          </w:p>
        </w:tc>
        <w:tc>
          <w:tcPr>
            <w:tcW w:w="3715" w:type="dxa"/>
            <w:tcBorders>
              <w:top w:val="single" w:color="auto" w:sz="4" w:space="0"/>
              <w:left w:val="nil"/>
              <w:bottom w:val="single" w:color="auto" w:sz="4" w:space="0"/>
              <w:right w:val="single" w:color="auto" w:sz="4" w:space="0"/>
            </w:tcBorders>
            <w:shd w:val="clear" w:color="auto" w:fill="auto"/>
            <w:vAlign w:val="center"/>
          </w:tcPr>
          <w:p w14:paraId="5D006D33">
            <w:pPr>
              <w:keepNext w:val="0"/>
              <w:keepLines w:val="0"/>
              <w:widowControl w:val="0"/>
              <w:numPr>
                <w:ilvl w:val="0"/>
                <w:numId w:val="0"/>
              </w:numPr>
              <w:suppressLineNumbers w:val="0"/>
              <w:wordWrap w:val="0"/>
              <w:autoSpaceDE w:val="0"/>
              <w:autoSpaceDN/>
              <w:adjustRightInd w:val="0"/>
              <w:snapToGrid w:val="0"/>
              <w:spacing w:before="0" w:beforeAutospacing="0" w:after="0" w:afterAutospacing="0" w:line="400" w:lineRule="exact"/>
              <w:ind w:left="0" w:leftChars="0" w:right="0" w:rightChars="0" w:firstLine="0" w:firstLineChars="0"/>
              <w:jc w:val="both"/>
              <w:rPr>
                <w:rFonts w:hint="eastAsia" w:ascii="宋体" w:hAnsi="宋体" w:eastAsia="宋体" w:cs="宋体"/>
                <w:color w:val="auto"/>
                <w:kern w:val="0"/>
                <w:sz w:val="24"/>
                <w:szCs w:val="24"/>
                <w:highlight w:val="none"/>
              </w:rPr>
            </w:pPr>
            <w:r>
              <w:rPr>
                <w:rFonts w:hint="default" w:ascii="宋体" w:hAnsi="宋体" w:eastAsia="宋体" w:cs="宋体"/>
                <w:snapToGrid w:val="0"/>
                <w:color w:val="auto"/>
                <w:kern w:val="0"/>
                <w:sz w:val="24"/>
                <w:szCs w:val="24"/>
                <w:highlight w:val="none"/>
                <w:lang w:val="en-US" w:eastAsia="en-US" w:bidi="ar"/>
              </w:rPr>
              <w:t>1.</w:t>
            </w:r>
            <w:r>
              <w:rPr>
                <w:rFonts w:hint="eastAsia" w:ascii="宋体" w:hAnsi="宋体" w:eastAsia="宋体" w:cs="宋体"/>
                <w:snapToGrid w:val="0"/>
                <w:color w:val="auto"/>
                <w:kern w:val="0"/>
                <w:sz w:val="24"/>
                <w:szCs w:val="24"/>
                <w:highlight w:val="none"/>
                <w:lang w:val="en-US" w:eastAsia="zh-CN" w:bidi="ar"/>
              </w:rPr>
              <w:t>拟投入本项目的现场管理人员（项目负责人、技术负责人、专职安全员除外）配备施工员、质量员、机械员、材料员、资料员、劳务员、造价员、标准员，满足全部岗位配置得5分（缺任一岗位不得分）。</w:t>
            </w:r>
            <w:r>
              <w:rPr>
                <w:rFonts w:hint="eastAsia" w:ascii="宋体" w:hAnsi="宋体" w:eastAsia="宋体" w:cs="宋体"/>
                <w:snapToGrid w:val="0"/>
                <w:color w:val="auto"/>
                <w:kern w:val="0"/>
                <w:sz w:val="24"/>
                <w:szCs w:val="24"/>
                <w:highlight w:val="none"/>
                <w:lang w:val="en-US" w:eastAsia="zh-CN" w:bidi="ar"/>
              </w:rPr>
              <w:br w:type="textWrapping"/>
            </w:r>
            <w:r>
              <w:rPr>
                <w:rFonts w:hint="eastAsia" w:ascii="宋体" w:hAnsi="宋体" w:eastAsia="宋体" w:cs="宋体"/>
                <w:snapToGrid w:val="0"/>
                <w:color w:val="auto"/>
                <w:kern w:val="0"/>
                <w:sz w:val="24"/>
                <w:szCs w:val="24"/>
                <w:highlight w:val="none"/>
                <w:lang w:val="en-US" w:eastAsia="zh-CN" w:bidi="ar"/>
              </w:rPr>
              <w:t>2.拟投入本项目现场施工人员（项目现场管理人员除外）配备持高压电工作业证、电力电缆作业证、电气试验作业证人员，满足全部岗位配置的得3分（缺任一岗位不得分）；在此基础上，每多提供1名上述持证人员加1分，本项最高得8分。</w:t>
            </w:r>
          </w:p>
          <w:p w14:paraId="21021C3A">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rightChars="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3.拟投入本项目的人员（项目负责人、技术负责人除外）具有机电工程或电力工程或电气工程相关专业职称证书的，高级工程师以上职称的1证得1分，工程师职称的1证得0.5分，此项最高得4分。（同一人员多个证书按一个计分）</w:t>
            </w:r>
          </w:p>
          <w:p w14:paraId="1C04C7E6">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rightChars="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4.本项最高得17分。</w:t>
            </w:r>
          </w:p>
        </w:tc>
        <w:tc>
          <w:tcPr>
            <w:tcW w:w="4527" w:type="dxa"/>
            <w:tcBorders>
              <w:top w:val="single" w:color="auto" w:sz="4" w:space="0"/>
              <w:left w:val="nil"/>
              <w:bottom w:val="single" w:color="auto" w:sz="4" w:space="0"/>
              <w:right w:val="single" w:color="auto" w:sz="4" w:space="0"/>
            </w:tcBorders>
            <w:shd w:val="clear" w:color="auto" w:fill="auto"/>
            <w:vAlign w:val="center"/>
          </w:tcPr>
          <w:p w14:paraId="047009E3">
            <w:pPr>
              <w:keepNext w:val="0"/>
              <w:keepLines w:val="0"/>
              <w:widowControl/>
              <w:suppressLineNumbers w:val="0"/>
              <w:autoSpaceDE w:val="0"/>
              <w:autoSpaceDN/>
              <w:spacing w:before="0" w:beforeAutospacing="0" w:after="0" w:afterAutospacing="0" w:line="400" w:lineRule="exact"/>
              <w:ind w:left="0" w:right="0"/>
              <w:jc w:val="left"/>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1.需附在有效期内的证书彩色扫描件。</w:t>
            </w:r>
          </w:p>
          <w:p w14:paraId="414A3A99">
            <w:pPr>
              <w:keepNext w:val="0"/>
              <w:keepLines w:val="0"/>
              <w:widowControl/>
              <w:suppressLineNumbers w:val="0"/>
              <w:autoSpaceDE w:val="0"/>
              <w:autoSpaceDN/>
              <w:spacing w:before="0" w:beforeAutospacing="0" w:after="0" w:afterAutospacing="0" w:line="400" w:lineRule="exact"/>
              <w:ind w:left="0" w:right="0"/>
              <w:jc w:val="left"/>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2.需提供在本单位缴纳社保的证明（至少3个月，其中必须有2026年4月）彩色扫描件。</w:t>
            </w:r>
          </w:p>
          <w:p w14:paraId="52DC0EB6">
            <w:pPr>
              <w:keepNext w:val="0"/>
              <w:keepLines w:val="0"/>
              <w:widowControl/>
              <w:suppressLineNumbers w:val="0"/>
              <w:autoSpaceDE w:val="0"/>
              <w:autoSpaceDN/>
              <w:spacing w:before="0" w:beforeAutospacing="0" w:after="0" w:afterAutospacing="0" w:line="400" w:lineRule="exact"/>
              <w:ind w:left="0" w:right="0"/>
              <w:jc w:val="left"/>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3.上述资料不提供或提供不齐全，不得分。</w:t>
            </w:r>
          </w:p>
        </w:tc>
      </w:tr>
      <w:tr w14:paraId="3C889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59CD23D4">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right="0" w:firstLine="0" w:firstLineChars="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企业银行</w:t>
            </w:r>
          </w:p>
          <w:p w14:paraId="55172089">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right="0" w:firstLine="0" w:firstLineChars="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资信评级</w:t>
            </w:r>
          </w:p>
          <w:p w14:paraId="7BF6B523">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right="0" w:firstLine="0" w:firstLineChars="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（5分）</w:t>
            </w:r>
          </w:p>
        </w:tc>
        <w:tc>
          <w:tcPr>
            <w:tcW w:w="3715" w:type="dxa"/>
            <w:tcBorders>
              <w:top w:val="single" w:color="auto" w:sz="4" w:space="0"/>
              <w:left w:val="nil"/>
              <w:bottom w:val="single" w:color="auto" w:sz="4" w:space="0"/>
              <w:right w:val="single" w:color="auto" w:sz="4" w:space="0"/>
            </w:tcBorders>
            <w:shd w:val="clear" w:color="auto" w:fill="auto"/>
            <w:vAlign w:val="center"/>
          </w:tcPr>
          <w:p w14:paraId="0A2E4311">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1．银行资信评级AAA的，得</w:t>
            </w:r>
            <w:r>
              <w:rPr>
                <w:rFonts w:hint="eastAsia" w:ascii="宋体" w:hAnsi="宋体" w:eastAsia="宋体" w:cs="宋体"/>
                <w:snapToGrid w:val="0"/>
                <w:color w:val="auto"/>
                <w:kern w:val="0"/>
                <w:sz w:val="24"/>
                <w:szCs w:val="24"/>
                <w:highlight w:val="none"/>
                <w:u w:val="single"/>
                <w:lang w:val="en-US" w:eastAsia="zh-CN" w:bidi="ar"/>
              </w:rPr>
              <w:t xml:space="preserve"> 5 </w:t>
            </w:r>
            <w:r>
              <w:rPr>
                <w:rFonts w:hint="eastAsia" w:ascii="宋体" w:hAnsi="宋体" w:eastAsia="宋体" w:cs="宋体"/>
                <w:snapToGrid w:val="0"/>
                <w:color w:val="auto"/>
                <w:kern w:val="0"/>
                <w:sz w:val="24"/>
                <w:szCs w:val="24"/>
                <w:highlight w:val="none"/>
                <w:lang w:val="en-US" w:eastAsia="zh-CN" w:bidi="ar"/>
              </w:rPr>
              <w:t>分；</w:t>
            </w:r>
          </w:p>
          <w:p w14:paraId="5DAF6112">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2．银行资信评级AA（含AA＋、AA－）的，得</w:t>
            </w:r>
            <w:r>
              <w:rPr>
                <w:rFonts w:hint="eastAsia" w:ascii="宋体" w:hAnsi="宋体" w:eastAsia="宋体" w:cs="宋体"/>
                <w:snapToGrid w:val="0"/>
                <w:color w:val="auto"/>
                <w:kern w:val="0"/>
                <w:sz w:val="24"/>
                <w:szCs w:val="24"/>
                <w:highlight w:val="none"/>
                <w:u w:val="single"/>
                <w:lang w:val="en-US" w:eastAsia="zh-CN" w:bidi="ar"/>
              </w:rPr>
              <w:t xml:space="preserve"> 3 </w:t>
            </w:r>
            <w:r>
              <w:rPr>
                <w:rFonts w:hint="eastAsia" w:ascii="宋体" w:hAnsi="宋体" w:eastAsia="宋体" w:cs="宋体"/>
                <w:snapToGrid w:val="0"/>
                <w:color w:val="auto"/>
                <w:kern w:val="0"/>
                <w:sz w:val="24"/>
                <w:szCs w:val="24"/>
                <w:highlight w:val="none"/>
                <w:lang w:val="en-US" w:eastAsia="zh-CN" w:bidi="ar"/>
              </w:rPr>
              <w:t>分。</w:t>
            </w:r>
          </w:p>
          <w:p w14:paraId="6CC249D1">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3．银行资信评级A（含A＋、A－）的，得</w:t>
            </w:r>
            <w:r>
              <w:rPr>
                <w:rFonts w:hint="eastAsia" w:ascii="宋体" w:hAnsi="宋体" w:eastAsia="宋体" w:cs="宋体"/>
                <w:snapToGrid w:val="0"/>
                <w:color w:val="auto"/>
                <w:kern w:val="0"/>
                <w:sz w:val="24"/>
                <w:szCs w:val="24"/>
                <w:highlight w:val="none"/>
                <w:u w:val="single"/>
                <w:lang w:val="en-US" w:eastAsia="zh-CN" w:bidi="ar"/>
              </w:rPr>
              <w:t xml:space="preserve"> 1 </w:t>
            </w:r>
            <w:r>
              <w:rPr>
                <w:rFonts w:hint="eastAsia" w:ascii="宋体" w:hAnsi="宋体" w:eastAsia="宋体" w:cs="宋体"/>
                <w:snapToGrid w:val="0"/>
                <w:color w:val="auto"/>
                <w:kern w:val="0"/>
                <w:sz w:val="24"/>
                <w:szCs w:val="24"/>
                <w:highlight w:val="none"/>
                <w:lang w:val="en-US" w:eastAsia="zh-CN" w:bidi="ar"/>
              </w:rPr>
              <w:t>分。</w:t>
            </w:r>
          </w:p>
          <w:p w14:paraId="08A5B7DD">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4．未获得过以上评级的，或评级证书无效的，不予计分。</w:t>
            </w:r>
          </w:p>
        </w:tc>
        <w:tc>
          <w:tcPr>
            <w:tcW w:w="4527" w:type="dxa"/>
            <w:tcBorders>
              <w:top w:val="single" w:color="auto" w:sz="4" w:space="0"/>
              <w:left w:val="nil"/>
              <w:bottom w:val="single" w:color="auto" w:sz="4" w:space="0"/>
              <w:right w:val="single" w:color="auto" w:sz="4" w:space="0"/>
            </w:tcBorders>
            <w:shd w:val="clear" w:color="auto" w:fill="auto"/>
            <w:vAlign w:val="center"/>
          </w:tcPr>
          <w:p w14:paraId="40850D2B">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1．需附在有效期内的资信评级证书（证明）彩色扫描件。</w:t>
            </w:r>
          </w:p>
          <w:p w14:paraId="0357E83C">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2．评级证书（证明）须由企业基本账户开户银行/市级或以上金融机构出具。</w:t>
            </w:r>
          </w:p>
          <w:p w14:paraId="3A26B505">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3．评级证书（证明）有以下情形之一的，视为无效：</w:t>
            </w:r>
          </w:p>
          <w:p w14:paraId="7C50654D">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①评级证书（证明）不在有效期内的；</w:t>
            </w:r>
          </w:p>
          <w:p w14:paraId="5EE107FC">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b w:val="0"/>
                <w:bCs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②出具机构不符合要求的。</w:t>
            </w:r>
          </w:p>
        </w:tc>
      </w:tr>
      <w:tr w14:paraId="2A19B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3C30E090">
            <w:pPr>
              <w:keepNext w:val="0"/>
              <w:keepLines w:val="0"/>
              <w:widowControl w:val="0"/>
              <w:suppressLineNumbers w:val="0"/>
              <w:wordWrap w:val="0"/>
              <w:autoSpaceDE w:val="0"/>
              <w:autoSpaceDN/>
              <w:adjustRightInd w:val="0"/>
              <w:snapToGrid w:val="0"/>
              <w:spacing w:before="0" w:beforeLines="0" w:beforeAutospacing="0" w:after="0" w:afterLines="0" w:afterAutospacing="0" w:line="400" w:lineRule="exact"/>
              <w:ind w:left="0" w:leftChars="0" w:right="0" w:rightChars="0" w:firstLine="0" w:firstLineChars="0"/>
              <w:jc w:val="center"/>
              <w:rPr>
                <w:rFonts w:hint="eastAsia" w:ascii="宋体" w:hAnsi="宋体" w:eastAsia="宋体" w:cs="宋体"/>
                <w:caps w:val="0"/>
                <w:color w:val="auto"/>
                <w:spacing w:val="0"/>
                <w:kern w:val="0"/>
                <w:sz w:val="24"/>
                <w:szCs w:val="24"/>
                <w:highlight w:val="none"/>
              </w:rPr>
            </w:pPr>
            <w:r>
              <w:rPr>
                <w:rFonts w:hint="eastAsia" w:ascii="宋体" w:hAnsi="宋体" w:eastAsia="宋体" w:cs="宋体"/>
                <w:caps w:val="0"/>
                <w:snapToGrid w:val="0"/>
                <w:color w:val="auto"/>
                <w:spacing w:val="0"/>
                <w:kern w:val="0"/>
                <w:sz w:val="24"/>
                <w:szCs w:val="24"/>
                <w:highlight w:val="none"/>
                <w:lang w:val="en-US" w:eastAsia="zh-CN" w:bidi="ar"/>
              </w:rPr>
              <w:t>企业管理</w:t>
            </w:r>
          </w:p>
          <w:p w14:paraId="013EE092">
            <w:pPr>
              <w:keepNext w:val="0"/>
              <w:keepLines w:val="0"/>
              <w:widowControl w:val="0"/>
              <w:suppressLineNumbers w:val="0"/>
              <w:wordWrap w:val="0"/>
              <w:autoSpaceDE w:val="0"/>
              <w:autoSpaceDN/>
              <w:adjustRightInd w:val="0"/>
              <w:snapToGrid w:val="0"/>
              <w:spacing w:before="0" w:beforeLines="0" w:beforeAutospacing="0" w:after="0" w:afterLines="0" w:afterAutospacing="0" w:line="400" w:lineRule="exact"/>
              <w:ind w:left="0" w:leftChars="0" w:right="0" w:rightChars="0" w:firstLine="0" w:firstLineChars="0"/>
              <w:jc w:val="center"/>
              <w:rPr>
                <w:rFonts w:hint="eastAsia" w:ascii="宋体" w:hAnsi="宋体" w:eastAsia="宋体" w:cs="宋体"/>
                <w:caps w:val="0"/>
                <w:color w:val="auto"/>
                <w:spacing w:val="0"/>
                <w:kern w:val="0"/>
                <w:sz w:val="24"/>
                <w:szCs w:val="24"/>
                <w:highlight w:val="none"/>
              </w:rPr>
            </w:pPr>
            <w:r>
              <w:rPr>
                <w:rFonts w:hint="eastAsia" w:ascii="宋体" w:hAnsi="宋体" w:eastAsia="宋体" w:cs="宋体"/>
                <w:caps w:val="0"/>
                <w:snapToGrid w:val="0"/>
                <w:color w:val="auto"/>
                <w:spacing w:val="0"/>
                <w:kern w:val="0"/>
                <w:sz w:val="24"/>
                <w:szCs w:val="24"/>
                <w:highlight w:val="none"/>
                <w:lang w:val="en-US" w:eastAsia="zh-CN" w:bidi="ar"/>
              </w:rPr>
              <w:t>体系认证</w:t>
            </w:r>
          </w:p>
          <w:p w14:paraId="1C63ECDB">
            <w:pPr>
              <w:keepNext w:val="0"/>
              <w:keepLines w:val="0"/>
              <w:widowControl w:val="0"/>
              <w:suppressLineNumbers w:val="0"/>
              <w:wordWrap w:val="0"/>
              <w:autoSpaceDE w:val="0"/>
              <w:autoSpaceDN/>
              <w:adjustRightInd w:val="0"/>
              <w:snapToGrid w:val="0"/>
              <w:spacing w:before="0" w:beforeLines="0" w:beforeAutospacing="0" w:after="0" w:afterLines="0" w:afterAutospacing="0" w:line="400" w:lineRule="exact"/>
              <w:ind w:left="0" w:leftChars="0" w:right="0" w:rightChars="0" w:firstLine="0" w:firstLineChars="0"/>
              <w:jc w:val="center"/>
              <w:rPr>
                <w:rFonts w:hint="eastAsia" w:ascii="宋体" w:hAnsi="宋体" w:eastAsia="宋体" w:cs="宋体"/>
                <w:color w:val="auto"/>
                <w:kern w:val="0"/>
                <w:sz w:val="24"/>
                <w:szCs w:val="24"/>
                <w:highlight w:val="none"/>
              </w:rPr>
            </w:pPr>
            <w:r>
              <w:rPr>
                <w:rFonts w:hint="eastAsia" w:ascii="宋体" w:hAnsi="宋体" w:eastAsia="宋体" w:cs="宋体"/>
                <w:caps w:val="0"/>
                <w:snapToGrid w:val="0"/>
                <w:color w:val="auto"/>
                <w:spacing w:val="0"/>
                <w:kern w:val="0"/>
                <w:sz w:val="24"/>
                <w:szCs w:val="24"/>
                <w:highlight w:val="none"/>
                <w:lang w:val="en-US" w:eastAsia="zh-CN" w:bidi="ar"/>
              </w:rPr>
              <w:t>（</w:t>
            </w:r>
            <w:r>
              <w:rPr>
                <w:rFonts w:hint="eastAsia" w:ascii="宋体" w:hAnsi="宋体" w:eastAsia="宋体" w:cs="宋体"/>
                <w:b w:val="0"/>
                <w:bCs w:val="0"/>
                <w:caps w:val="0"/>
                <w:snapToGrid w:val="0"/>
                <w:color w:val="auto"/>
                <w:spacing w:val="0"/>
                <w:kern w:val="0"/>
                <w:sz w:val="24"/>
                <w:szCs w:val="24"/>
                <w:highlight w:val="none"/>
                <w:lang w:val="en-US" w:eastAsia="zh-CN" w:bidi="ar"/>
              </w:rPr>
              <w:t>9分</w:t>
            </w:r>
            <w:r>
              <w:rPr>
                <w:rFonts w:hint="eastAsia" w:ascii="宋体" w:hAnsi="宋体" w:eastAsia="宋体" w:cs="宋体"/>
                <w:caps w:val="0"/>
                <w:snapToGrid w:val="0"/>
                <w:color w:val="auto"/>
                <w:spacing w:val="0"/>
                <w:kern w:val="0"/>
                <w:sz w:val="24"/>
                <w:szCs w:val="24"/>
                <w:highlight w:val="none"/>
                <w:lang w:val="en-US" w:eastAsia="zh-CN" w:bidi="ar"/>
              </w:rPr>
              <w:t>）</w:t>
            </w:r>
          </w:p>
        </w:tc>
        <w:tc>
          <w:tcPr>
            <w:tcW w:w="3715" w:type="dxa"/>
            <w:tcBorders>
              <w:top w:val="single" w:color="auto" w:sz="4" w:space="0"/>
              <w:left w:val="nil"/>
              <w:bottom w:val="single" w:color="auto" w:sz="4" w:space="0"/>
              <w:right w:val="single" w:color="auto" w:sz="4" w:space="0"/>
            </w:tcBorders>
            <w:shd w:val="clear" w:color="auto" w:fill="auto"/>
            <w:vAlign w:val="center"/>
          </w:tcPr>
          <w:p w14:paraId="7BE829C3">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1．质量管理体系认证证书、职业健康安全管理体系认证证书、环境管理体系认证证书、诚信管理体系认证证书、合规管理体系认证证书、企业履约能力服务认证证书中，每获得1项认证得</w:t>
            </w:r>
            <w:r>
              <w:rPr>
                <w:rFonts w:hint="eastAsia" w:ascii="宋体" w:hAnsi="宋体" w:eastAsia="宋体" w:cs="宋体"/>
                <w:snapToGrid w:val="0"/>
                <w:color w:val="auto"/>
                <w:kern w:val="0"/>
                <w:sz w:val="24"/>
                <w:szCs w:val="24"/>
                <w:highlight w:val="none"/>
                <w:u w:val="single"/>
                <w:lang w:val="en-US" w:eastAsia="zh-CN" w:bidi="ar"/>
              </w:rPr>
              <w:t>1.5</w:t>
            </w:r>
            <w:r>
              <w:rPr>
                <w:rFonts w:hint="eastAsia" w:ascii="宋体" w:hAnsi="宋体" w:eastAsia="宋体" w:cs="宋体"/>
                <w:snapToGrid w:val="0"/>
                <w:color w:val="auto"/>
                <w:kern w:val="0"/>
                <w:sz w:val="24"/>
                <w:szCs w:val="24"/>
                <w:highlight w:val="none"/>
                <w:lang w:val="en-US" w:eastAsia="zh-CN" w:bidi="ar"/>
              </w:rPr>
              <w:t>分，最高得</w:t>
            </w:r>
            <w:r>
              <w:rPr>
                <w:rFonts w:hint="eastAsia" w:ascii="宋体" w:hAnsi="宋体" w:eastAsia="宋体" w:cs="宋体"/>
                <w:snapToGrid w:val="0"/>
                <w:color w:val="auto"/>
                <w:kern w:val="0"/>
                <w:sz w:val="24"/>
                <w:szCs w:val="24"/>
                <w:highlight w:val="none"/>
                <w:u w:val="single"/>
                <w:lang w:val="en-US" w:eastAsia="zh-CN" w:bidi="ar"/>
              </w:rPr>
              <w:t>9</w:t>
            </w:r>
            <w:r>
              <w:rPr>
                <w:rFonts w:hint="eastAsia" w:ascii="宋体" w:hAnsi="宋体" w:eastAsia="宋体" w:cs="宋体"/>
                <w:snapToGrid w:val="0"/>
                <w:color w:val="auto"/>
                <w:kern w:val="0"/>
                <w:sz w:val="24"/>
                <w:szCs w:val="24"/>
                <w:highlight w:val="none"/>
                <w:lang w:val="en-US" w:eastAsia="zh-CN" w:bidi="ar"/>
              </w:rPr>
              <w:t>分。</w:t>
            </w:r>
          </w:p>
          <w:p w14:paraId="48641487">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2．未获得以上认证的，不予计分。</w:t>
            </w:r>
          </w:p>
        </w:tc>
        <w:tc>
          <w:tcPr>
            <w:tcW w:w="4527" w:type="dxa"/>
            <w:tcBorders>
              <w:top w:val="single" w:color="auto" w:sz="4" w:space="0"/>
              <w:left w:val="nil"/>
              <w:bottom w:val="single" w:color="auto" w:sz="4" w:space="0"/>
              <w:right w:val="single" w:color="auto" w:sz="4" w:space="0"/>
            </w:tcBorders>
            <w:shd w:val="clear" w:color="auto" w:fill="auto"/>
            <w:vAlign w:val="center"/>
          </w:tcPr>
          <w:p w14:paraId="6016613D">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1．需附在有效期内的认证证书彩色扫描件。</w:t>
            </w:r>
          </w:p>
          <w:p w14:paraId="24236294">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2．任一认证证书有以下情形之一的，该认证证书视为无效，不予计分：</w:t>
            </w:r>
          </w:p>
          <w:p w14:paraId="723099EA">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b w:val="0"/>
                <w:bCs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①认证证书不在有效期内的。</w:t>
            </w:r>
          </w:p>
        </w:tc>
      </w:tr>
      <w:tr w14:paraId="7E388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76DCC1F3">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right="0" w:firstLine="0" w:firstLineChars="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企业</w:t>
            </w:r>
          </w:p>
          <w:p w14:paraId="6A2C2BE7">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right="0" w:firstLine="0" w:firstLineChars="0"/>
              <w:jc w:val="center"/>
              <w:rPr>
                <w:rFonts w:hint="eastAsia" w:ascii="宋体" w:hAnsi="宋体" w:eastAsia="宋体" w:cs="宋体"/>
                <w:strike/>
                <w:dstrike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财务状况</w:t>
            </w:r>
          </w:p>
          <w:p w14:paraId="7A7F417E">
            <w:pPr>
              <w:keepNext w:val="0"/>
              <w:keepLines w:val="0"/>
              <w:widowControl w:val="0"/>
              <w:suppressLineNumbers w:val="0"/>
              <w:wordWrap w:val="0"/>
              <w:autoSpaceDE w:val="0"/>
              <w:autoSpaceDN/>
              <w:adjustRightInd w:val="0"/>
              <w:snapToGrid w:val="0"/>
              <w:spacing w:before="0" w:beforeLines="0" w:beforeAutospacing="0" w:after="0" w:afterLines="0" w:afterAutospacing="0" w:line="400" w:lineRule="exact"/>
              <w:ind w:left="0" w:leftChars="0" w:right="0" w:rightChars="0" w:firstLine="0" w:firstLineChars="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（10分）</w:t>
            </w:r>
          </w:p>
        </w:tc>
        <w:tc>
          <w:tcPr>
            <w:tcW w:w="3715" w:type="dxa"/>
            <w:tcBorders>
              <w:top w:val="single" w:color="auto" w:sz="4" w:space="0"/>
              <w:left w:val="nil"/>
              <w:bottom w:val="single" w:color="auto" w:sz="4" w:space="0"/>
              <w:right w:val="single" w:color="auto" w:sz="4" w:space="0"/>
            </w:tcBorders>
            <w:shd w:val="clear" w:color="auto" w:fill="auto"/>
            <w:vAlign w:val="center"/>
          </w:tcPr>
          <w:p w14:paraId="2F3A6F99">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1.提供不少于400万元银行授信或贷款余额证明的，得</w:t>
            </w:r>
            <w:r>
              <w:rPr>
                <w:rFonts w:hint="eastAsia" w:ascii="宋体" w:hAnsi="宋体" w:eastAsia="宋体" w:cs="宋体"/>
                <w:snapToGrid w:val="0"/>
                <w:color w:val="auto"/>
                <w:kern w:val="0"/>
                <w:sz w:val="24"/>
                <w:szCs w:val="24"/>
                <w:highlight w:val="none"/>
                <w:u w:val="single"/>
                <w:lang w:val="en-US" w:eastAsia="zh-CN" w:bidi="ar"/>
              </w:rPr>
              <w:t>5</w:t>
            </w:r>
            <w:r>
              <w:rPr>
                <w:rFonts w:hint="eastAsia" w:ascii="宋体" w:hAnsi="宋体" w:eastAsia="宋体" w:cs="宋体"/>
                <w:snapToGrid w:val="0"/>
                <w:color w:val="auto"/>
                <w:kern w:val="0"/>
                <w:sz w:val="24"/>
                <w:szCs w:val="24"/>
                <w:highlight w:val="none"/>
                <w:lang w:val="en-US" w:eastAsia="zh-CN" w:bidi="ar"/>
              </w:rPr>
              <w:t>分。</w:t>
            </w:r>
          </w:p>
          <w:p w14:paraId="17D40756">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2．提供投标人基本账户在本项目招标公告发布之日起至投标截止时间期间出现过至少连续3日不少于400万元存款余额资金流水证明的，得</w:t>
            </w:r>
            <w:r>
              <w:rPr>
                <w:rFonts w:hint="eastAsia" w:ascii="宋体" w:hAnsi="宋体" w:eastAsia="宋体" w:cs="宋体"/>
                <w:snapToGrid w:val="0"/>
                <w:color w:val="auto"/>
                <w:kern w:val="0"/>
                <w:sz w:val="24"/>
                <w:szCs w:val="24"/>
                <w:highlight w:val="none"/>
                <w:u w:val="single"/>
                <w:lang w:val="en-US" w:eastAsia="zh-CN" w:bidi="ar"/>
              </w:rPr>
              <w:t>5</w:t>
            </w:r>
            <w:r>
              <w:rPr>
                <w:rFonts w:hint="eastAsia" w:ascii="宋体" w:hAnsi="宋体" w:eastAsia="宋体" w:cs="宋体"/>
                <w:snapToGrid w:val="0"/>
                <w:color w:val="auto"/>
                <w:kern w:val="0"/>
                <w:sz w:val="24"/>
                <w:szCs w:val="24"/>
                <w:highlight w:val="none"/>
                <w:lang w:val="en-US" w:eastAsia="zh-CN" w:bidi="ar"/>
              </w:rPr>
              <w:t>分。</w:t>
            </w:r>
          </w:p>
          <w:p w14:paraId="6E4C2C3C">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3．本项最高得10分。</w:t>
            </w:r>
          </w:p>
        </w:tc>
        <w:tc>
          <w:tcPr>
            <w:tcW w:w="4527" w:type="dxa"/>
            <w:tcBorders>
              <w:top w:val="single" w:color="auto" w:sz="4" w:space="0"/>
              <w:left w:val="nil"/>
              <w:bottom w:val="single" w:color="auto" w:sz="4" w:space="0"/>
              <w:right w:val="single" w:color="auto" w:sz="4" w:space="0"/>
            </w:tcBorders>
            <w:shd w:val="clear" w:color="auto" w:fill="auto"/>
            <w:vAlign w:val="center"/>
          </w:tcPr>
          <w:p w14:paraId="39856E21">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1．需附在有效期内的有关证明彩色扫描件。</w:t>
            </w:r>
          </w:p>
          <w:p w14:paraId="054841AF">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2．银行授信证明有以下情形之一的，视为无效，不予计分：</w:t>
            </w:r>
          </w:p>
          <w:p w14:paraId="59A62161">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①授信证明不在有效期内的；</w:t>
            </w:r>
          </w:p>
          <w:p w14:paraId="475D773D">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②授信额度不符合要求的；</w:t>
            </w:r>
          </w:p>
          <w:p w14:paraId="6B4ADCC9">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3．存款余额资金流水证明有以下情形之一的，视为无效，不予计分：</w:t>
            </w:r>
          </w:p>
          <w:p w14:paraId="461F4D98">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①存款账户不是基本账户的；</w:t>
            </w:r>
          </w:p>
          <w:p w14:paraId="1592531B">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②存款时间不符合要求的；</w:t>
            </w:r>
          </w:p>
          <w:p w14:paraId="0077C6A5">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b w:val="0"/>
                <w:bCs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③存款额度不符合要求的。</w:t>
            </w:r>
          </w:p>
        </w:tc>
      </w:tr>
      <w:tr w14:paraId="670EE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28E3DD47">
            <w:pPr>
              <w:keepNext w:val="0"/>
              <w:keepLines w:val="0"/>
              <w:widowControl w:val="0"/>
              <w:suppressLineNumbers w:val="0"/>
              <w:wordWrap w:val="0"/>
              <w:autoSpaceDE w:val="0"/>
              <w:autoSpaceDN/>
              <w:adjustRightInd w:val="0"/>
              <w:snapToGrid w:val="0"/>
              <w:spacing w:before="0" w:beforeLines="0" w:beforeAutospacing="0" w:after="0" w:afterLines="0" w:afterAutospacing="0" w:line="400" w:lineRule="exact"/>
              <w:ind w:left="0" w:leftChars="0" w:right="0" w:rightChars="0" w:firstLine="0" w:firstLineChars="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应急处置</w:t>
            </w:r>
          </w:p>
          <w:p w14:paraId="54C7C9ED">
            <w:pPr>
              <w:keepNext w:val="0"/>
              <w:keepLines w:val="0"/>
              <w:widowControl w:val="0"/>
              <w:suppressLineNumbers w:val="0"/>
              <w:wordWrap w:val="0"/>
              <w:autoSpaceDE w:val="0"/>
              <w:autoSpaceDN/>
              <w:adjustRightInd w:val="0"/>
              <w:snapToGrid w:val="0"/>
              <w:spacing w:before="0" w:beforeLines="0" w:beforeAutospacing="0" w:after="0" w:afterLines="0" w:afterAutospacing="0" w:line="400" w:lineRule="exact"/>
              <w:ind w:left="0" w:leftChars="0" w:right="0" w:rightChars="0" w:firstLine="0" w:firstLineChars="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（4分）</w:t>
            </w:r>
          </w:p>
        </w:tc>
        <w:tc>
          <w:tcPr>
            <w:tcW w:w="3715" w:type="dxa"/>
            <w:tcBorders>
              <w:top w:val="single" w:color="auto" w:sz="4" w:space="0"/>
              <w:left w:val="nil"/>
              <w:bottom w:val="single" w:color="auto" w:sz="4" w:space="0"/>
              <w:right w:val="single" w:color="auto" w:sz="4" w:space="0"/>
            </w:tcBorders>
            <w:shd w:val="clear" w:color="auto" w:fill="auto"/>
            <w:vAlign w:val="center"/>
          </w:tcPr>
          <w:p w14:paraId="73386471">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2"/>
                <w:sz w:val="24"/>
                <w:szCs w:val="24"/>
                <w:highlight w:val="none"/>
                <w:lang w:val="en-US" w:eastAsia="zh-CN" w:bidi="ar"/>
              </w:rPr>
              <w:t>在施工过程中，为保障附近周边居民正常用电，在停电过程中，需提供保供电车支援，本电力项目的关键保供电过程中每提供1台保供电车的得2分，最高得4分，无则不得分。</w:t>
            </w:r>
          </w:p>
        </w:tc>
        <w:tc>
          <w:tcPr>
            <w:tcW w:w="4527" w:type="dxa"/>
            <w:tcBorders>
              <w:top w:val="single" w:color="auto" w:sz="4" w:space="0"/>
              <w:left w:val="nil"/>
              <w:bottom w:val="single" w:color="auto" w:sz="4" w:space="0"/>
              <w:right w:val="single" w:color="auto" w:sz="4" w:space="0"/>
            </w:tcBorders>
            <w:shd w:val="clear" w:color="auto" w:fill="auto"/>
            <w:vAlign w:val="center"/>
          </w:tcPr>
          <w:p w14:paraId="2E96C287">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Times New Roman" w:eastAsia="宋体" w:cs="Times New Roman"/>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投标人自身拥有保供电车辆的需提供行驶证扫描件及购买车辆发票扫描件；使用租赁保供电车辆的需提供行驶证扫描件及有效租赁合同扫描件。相关证件应在有效期内。</w:t>
            </w:r>
          </w:p>
          <w:p w14:paraId="134400B8">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2"/>
                <w:sz w:val="24"/>
                <w:szCs w:val="24"/>
                <w:highlight w:val="none"/>
                <w:lang w:val="en-US" w:eastAsia="zh-CN" w:bidi="ar"/>
              </w:rPr>
              <w:t>注：施工工程中需要保供电车到现场保电，如提供不了由中标人负责所有损失费用。</w:t>
            </w:r>
          </w:p>
        </w:tc>
      </w:tr>
      <w:tr w14:paraId="7B5FB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50D52E4">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招标人自拟项（15分）</w:t>
            </w:r>
          </w:p>
        </w:tc>
        <w:tc>
          <w:tcPr>
            <w:tcW w:w="3715" w:type="dxa"/>
            <w:tcBorders>
              <w:top w:val="single" w:color="auto" w:sz="4" w:space="0"/>
              <w:left w:val="single" w:color="auto" w:sz="4" w:space="0"/>
              <w:bottom w:val="single" w:color="auto" w:sz="4" w:space="0"/>
              <w:right w:val="single" w:color="auto" w:sz="4" w:space="0"/>
            </w:tcBorders>
            <w:shd w:val="clear" w:color="auto" w:fill="auto"/>
            <w:vAlign w:val="center"/>
          </w:tcPr>
          <w:p w14:paraId="659C7036">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企业连续</w:t>
            </w:r>
            <w:r>
              <w:rPr>
                <w:rFonts w:hint="eastAsia" w:ascii="宋体" w:hAnsi="宋体" w:eastAsia="宋体" w:cs="宋体"/>
                <w:snapToGrid w:val="0"/>
                <w:color w:val="auto"/>
                <w:kern w:val="0"/>
                <w:sz w:val="24"/>
                <w:szCs w:val="24"/>
                <w:highlight w:val="none"/>
                <w:u w:val="single"/>
                <w:lang w:val="en-US" w:eastAsia="zh-CN" w:bidi="ar"/>
              </w:rPr>
              <w:t xml:space="preserve"> 5 </w:t>
            </w:r>
            <w:r>
              <w:rPr>
                <w:rFonts w:hint="eastAsia" w:ascii="宋体" w:hAnsi="宋体" w:eastAsia="宋体" w:cs="宋体"/>
                <w:snapToGrid w:val="0"/>
                <w:color w:val="auto"/>
                <w:kern w:val="0"/>
                <w:sz w:val="24"/>
                <w:szCs w:val="24"/>
                <w:highlight w:val="none"/>
                <w:lang w:val="en-US" w:eastAsia="zh-CN" w:bidi="ar"/>
              </w:rPr>
              <w:t>年或</w:t>
            </w:r>
            <w:r>
              <w:rPr>
                <w:rFonts w:hint="eastAsia" w:ascii="宋体" w:hAnsi="宋体" w:eastAsia="宋体" w:cs="宋体"/>
                <w:snapToGrid w:val="0"/>
                <w:color w:val="auto"/>
                <w:kern w:val="0"/>
                <w:sz w:val="24"/>
                <w:szCs w:val="24"/>
                <w:highlight w:val="none"/>
                <w:u w:val="single"/>
                <w:lang w:val="en-US" w:eastAsia="zh-CN" w:bidi="ar"/>
              </w:rPr>
              <w:t xml:space="preserve"> 5 </w:t>
            </w:r>
            <w:r>
              <w:rPr>
                <w:rFonts w:hint="eastAsia" w:ascii="宋体" w:hAnsi="宋体" w:eastAsia="宋体" w:cs="宋体"/>
                <w:snapToGrid w:val="0"/>
                <w:color w:val="auto"/>
                <w:kern w:val="0"/>
                <w:sz w:val="24"/>
                <w:szCs w:val="24"/>
                <w:highlight w:val="none"/>
                <w:lang w:val="en-US" w:eastAsia="zh-CN" w:bidi="ar"/>
              </w:rPr>
              <w:t>年以上（含</w:t>
            </w:r>
            <w:r>
              <w:rPr>
                <w:rFonts w:hint="eastAsia" w:ascii="宋体" w:hAnsi="宋体" w:eastAsia="宋体" w:cs="宋体"/>
                <w:snapToGrid w:val="0"/>
                <w:color w:val="auto"/>
                <w:kern w:val="0"/>
                <w:sz w:val="24"/>
                <w:szCs w:val="24"/>
                <w:highlight w:val="none"/>
                <w:u w:val="single"/>
                <w:lang w:val="en-US" w:eastAsia="zh-CN" w:bidi="ar"/>
              </w:rPr>
              <w:t xml:space="preserve"> 5 </w:t>
            </w:r>
            <w:r>
              <w:rPr>
                <w:rFonts w:hint="eastAsia" w:ascii="宋体" w:hAnsi="宋体" w:eastAsia="宋体" w:cs="宋体"/>
                <w:snapToGrid w:val="0"/>
                <w:color w:val="auto"/>
                <w:kern w:val="0"/>
                <w:sz w:val="24"/>
                <w:szCs w:val="24"/>
                <w:highlight w:val="none"/>
                <w:lang w:val="en-US" w:eastAsia="zh-CN" w:bidi="ar"/>
              </w:rPr>
              <w:t>年）获得纳税信用A级纳税人的，得</w:t>
            </w:r>
            <w:r>
              <w:rPr>
                <w:rFonts w:hint="eastAsia" w:ascii="宋体" w:hAnsi="宋体" w:eastAsia="宋体" w:cs="宋体"/>
                <w:strike w:val="0"/>
                <w:dstrike w:val="0"/>
                <w:snapToGrid w:val="0"/>
                <w:color w:val="auto"/>
                <w:kern w:val="0"/>
                <w:sz w:val="24"/>
                <w:szCs w:val="24"/>
                <w:highlight w:val="none"/>
                <w:u w:val="single"/>
                <w:lang w:val="en-US" w:eastAsia="zh-CN" w:bidi="ar"/>
              </w:rPr>
              <w:t xml:space="preserve"> </w:t>
            </w:r>
            <w:r>
              <w:rPr>
                <w:rFonts w:hint="eastAsia" w:ascii="宋体" w:hAnsi="宋体" w:eastAsia="宋体" w:cs="宋体"/>
                <w:snapToGrid w:val="0"/>
                <w:color w:val="auto"/>
                <w:kern w:val="0"/>
                <w:sz w:val="24"/>
                <w:szCs w:val="24"/>
                <w:highlight w:val="none"/>
                <w:u w:val="single"/>
                <w:lang w:val="en-US" w:eastAsia="zh-CN" w:bidi="ar"/>
              </w:rPr>
              <w:t xml:space="preserve">5 </w:t>
            </w:r>
            <w:r>
              <w:rPr>
                <w:rFonts w:hint="eastAsia" w:ascii="宋体" w:hAnsi="宋体" w:eastAsia="宋体" w:cs="宋体"/>
                <w:snapToGrid w:val="0"/>
                <w:color w:val="auto"/>
                <w:kern w:val="0"/>
                <w:sz w:val="24"/>
                <w:szCs w:val="24"/>
                <w:highlight w:val="none"/>
                <w:lang w:val="en-US" w:eastAsia="zh-CN" w:bidi="ar"/>
              </w:rPr>
              <w:t>分；(其中必须有2024年度)</w:t>
            </w:r>
          </w:p>
        </w:tc>
        <w:tc>
          <w:tcPr>
            <w:tcW w:w="4527" w:type="dxa"/>
            <w:tcBorders>
              <w:top w:val="single" w:color="auto" w:sz="4" w:space="0"/>
              <w:left w:val="single" w:color="auto" w:sz="4" w:space="0"/>
              <w:bottom w:val="single" w:color="auto" w:sz="4" w:space="0"/>
              <w:right w:val="single" w:color="auto" w:sz="4" w:space="0"/>
            </w:tcBorders>
            <w:shd w:val="clear" w:color="auto" w:fill="auto"/>
            <w:vAlign w:val="center"/>
          </w:tcPr>
          <w:p w14:paraId="72D0B6CF">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1.必须提供企业纳税信用 A 级纳税人证明材料（或证书）及国家税务总局网上查询截图，否则不得分。</w:t>
            </w:r>
          </w:p>
          <w:p w14:paraId="34EF7CC6">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2.只计算投标人自身（不计算投标人的分公司、子公司及分支机构）</w:t>
            </w:r>
          </w:p>
        </w:tc>
      </w:tr>
      <w:tr w14:paraId="4766A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11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F8071C">
            <w:pPr>
              <w:keepNext w:val="0"/>
              <w:keepLines w:val="0"/>
              <w:widowControl/>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715" w:type="dxa"/>
            <w:tcBorders>
              <w:top w:val="single" w:color="auto" w:sz="4" w:space="0"/>
              <w:left w:val="single" w:color="auto" w:sz="4" w:space="0"/>
              <w:bottom w:val="single" w:color="auto" w:sz="4" w:space="0"/>
              <w:right w:val="single" w:color="auto" w:sz="4" w:space="0"/>
            </w:tcBorders>
            <w:shd w:val="clear" w:color="auto" w:fill="auto"/>
            <w:vAlign w:val="center"/>
          </w:tcPr>
          <w:p w14:paraId="2D1763D9">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1.近</w:t>
            </w:r>
            <w:r>
              <w:rPr>
                <w:rFonts w:hint="eastAsia" w:ascii="宋体" w:hAnsi="宋体" w:eastAsia="宋体" w:cs="宋体"/>
                <w:snapToGrid w:val="0"/>
                <w:color w:val="auto"/>
                <w:kern w:val="0"/>
                <w:sz w:val="24"/>
                <w:szCs w:val="24"/>
                <w:highlight w:val="none"/>
                <w:u w:val="single"/>
                <w:lang w:val="en-US" w:eastAsia="zh-CN" w:bidi="ar"/>
              </w:rPr>
              <w:t xml:space="preserve"> 5 </w:t>
            </w:r>
            <w:r>
              <w:rPr>
                <w:rFonts w:hint="eastAsia" w:ascii="宋体" w:hAnsi="宋体" w:eastAsia="宋体" w:cs="宋体"/>
                <w:snapToGrid w:val="0"/>
                <w:color w:val="auto"/>
                <w:kern w:val="0"/>
                <w:sz w:val="24"/>
                <w:szCs w:val="24"/>
                <w:highlight w:val="none"/>
                <w:lang w:val="en-US" w:eastAsia="zh-CN" w:bidi="ar"/>
              </w:rPr>
              <w:t>年来（2021年 1 月 1 日至今）投标人未发生事故等级为一般事故及以上的生产安全事故、一般质量事故及以上的工程质量事故的，得</w:t>
            </w:r>
            <w:r>
              <w:rPr>
                <w:rFonts w:hint="eastAsia" w:ascii="宋体" w:hAnsi="宋体" w:eastAsia="宋体" w:cs="宋体"/>
                <w:snapToGrid w:val="0"/>
                <w:color w:val="auto"/>
                <w:kern w:val="0"/>
                <w:sz w:val="24"/>
                <w:szCs w:val="24"/>
                <w:highlight w:val="none"/>
                <w:u w:val="single"/>
                <w:lang w:val="en-US" w:eastAsia="zh-CN" w:bidi="ar"/>
              </w:rPr>
              <w:t xml:space="preserve"> 5 </w:t>
            </w:r>
            <w:r>
              <w:rPr>
                <w:rFonts w:hint="eastAsia" w:ascii="宋体" w:hAnsi="宋体" w:eastAsia="宋体" w:cs="宋体"/>
                <w:snapToGrid w:val="0"/>
                <w:color w:val="auto"/>
                <w:kern w:val="0"/>
                <w:sz w:val="24"/>
                <w:szCs w:val="24"/>
                <w:highlight w:val="none"/>
                <w:lang w:val="en-US" w:eastAsia="zh-CN" w:bidi="ar"/>
              </w:rPr>
              <w:t>分；</w:t>
            </w:r>
          </w:p>
          <w:p w14:paraId="104A9AFD">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2.其他情形的，不予计分。</w:t>
            </w:r>
          </w:p>
        </w:tc>
        <w:tc>
          <w:tcPr>
            <w:tcW w:w="4527" w:type="dxa"/>
            <w:tcBorders>
              <w:top w:val="single" w:color="auto" w:sz="4" w:space="0"/>
              <w:left w:val="single" w:color="auto" w:sz="4" w:space="0"/>
              <w:bottom w:val="single" w:color="auto" w:sz="4" w:space="0"/>
              <w:right w:val="single" w:color="auto" w:sz="4" w:space="0"/>
            </w:tcBorders>
            <w:shd w:val="clear" w:color="auto" w:fill="auto"/>
            <w:vAlign w:val="center"/>
          </w:tcPr>
          <w:p w14:paraId="4AF1E48A">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1.需提供本单位承诺书（格式自定）并加盖本单位公章。</w:t>
            </w:r>
          </w:p>
          <w:p w14:paraId="6C5C7BDD">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2.未提供本单位承诺书并加盖本单位公章的，按第 2 项标准处理。</w:t>
            </w:r>
          </w:p>
        </w:tc>
      </w:tr>
      <w:tr w14:paraId="78F2B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5" w:hRule="atLeast"/>
          <w:jc w:val="center"/>
        </w:trPr>
        <w:tc>
          <w:tcPr>
            <w:tcW w:w="11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03E8CA">
            <w:pPr>
              <w:keepNext w:val="0"/>
              <w:keepLines w:val="0"/>
              <w:widowControl/>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715" w:type="dxa"/>
            <w:tcBorders>
              <w:top w:val="single" w:color="auto" w:sz="4" w:space="0"/>
              <w:left w:val="single" w:color="auto" w:sz="4" w:space="0"/>
              <w:bottom w:val="single" w:color="auto" w:sz="4" w:space="0"/>
              <w:right w:val="single" w:color="auto" w:sz="4" w:space="0"/>
            </w:tcBorders>
            <w:shd w:val="clear" w:color="auto" w:fill="auto"/>
            <w:vAlign w:val="top"/>
          </w:tcPr>
          <w:p w14:paraId="56406AF8">
            <w:pPr>
              <w:pStyle w:val="14"/>
              <w:keepNext w:val="0"/>
              <w:keepLines w:val="0"/>
              <w:widowControl w:val="0"/>
              <w:suppressLineNumbers w:val="0"/>
              <w:wordWrap w:val="0"/>
              <w:autoSpaceDE w:val="0"/>
              <w:autoSpaceDN/>
              <w:adjustRightInd w:val="0"/>
              <w:snapToGrid w:val="0"/>
              <w:spacing w:before="0" w:beforeAutospacing="1" w:after="0" w:afterLines="0" w:afterAutospacing="0" w:line="400" w:lineRule="exact"/>
              <w:ind w:left="0" w:leftChars="0" w:right="0" w:firstLine="0" w:firstLineChars="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投标人从2021年 1月 1 日至今获得过建设行政主管部门或建筑业协会颁发的“热心公益事业企业”称号的得 5 分，满分得 5 分。</w:t>
            </w:r>
          </w:p>
        </w:tc>
        <w:tc>
          <w:tcPr>
            <w:tcW w:w="4527" w:type="dxa"/>
            <w:tcBorders>
              <w:top w:val="single" w:color="auto" w:sz="4" w:space="0"/>
              <w:left w:val="single" w:color="auto" w:sz="4" w:space="0"/>
              <w:bottom w:val="single" w:color="auto" w:sz="4" w:space="0"/>
              <w:right w:val="single" w:color="auto" w:sz="4" w:space="0"/>
            </w:tcBorders>
            <w:shd w:val="clear" w:color="auto" w:fill="auto"/>
            <w:vAlign w:val="top"/>
          </w:tcPr>
          <w:p w14:paraId="5A0EF8BA">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1.需附相关证书彩色扫描件。</w:t>
            </w:r>
          </w:p>
          <w:p w14:paraId="71CFE48D">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2.证书须由地级市或以上人民政府/建设行政主管部门/建筑业协会颁发。</w:t>
            </w:r>
          </w:p>
          <w:p w14:paraId="6F48739C">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3.颁发机构、获奖时间不符合评分标准和备注规定的，不予得分。</w:t>
            </w:r>
          </w:p>
        </w:tc>
      </w:tr>
      <w:tr w14:paraId="2D95F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434"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785B5A6A">
            <w:pPr>
              <w:keepNext w:val="0"/>
              <w:keepLines w:val="0"/>
              <w:widowControl w:val="0"/>
              <w:suppressLineNumbers w:val="0"/>
              <w:autoSpaceDE w:val="0"/>
              <w:autoSpaceDN/>
              <w:adjustRightInd w:val="0"/>
              <w:spacing w:before="0" w:beforeAutospacing="0" w:after="0" w:afterAutospacing="0" w:line="400" w:lineRule="exact"/>
              <w:ind w:left="0"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snapToGrid w:val="0"/>
                <w:color w:val="auto"/>
                <w:kern w:val="0"/>
                <w:sz w:val="24"/>
                <w:szCs w:val="24"/>
                <w:highlight w:val="none"/>
                <w:vertAlign w:val="baseline"/>
                <w:lang w:val="en-US" w:eastAsia="zh-CN" w:bidi="ar"/>
              </w:rPr>
              <w:t>技术部分（施工组织设计），满分：20分。</w:t>
            </w:r>
          </w:p>
        </w:tc>
      </w:tr>
      <w:tr w14:paraId="622B7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594B3EC6">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评分因素</w:t>
            </w:r>
          </w:p>
        </w:tc>
        <w:tc>
          <w:tcPr>
            <w:tcW w:w="3715" w:type="dxa"/>
            <w:tcBorders>
              <w:top w:val="single" w:color="auto" w:sz="4" w:space="0"/>
              <w:left w:val="nil"/>
              <w:bottom w:val="single" w:color="auto" w:sz="4" w:space="0"/>
              <w:right w:val="single" w:color="auto" w:sz="4" w:space="0"/>
            </w:tcBorders>
            <w:shd w:val="clear" w:color="auto" w:fill="auto"/>
            <w:vAlign w:val="center"/>
          </w:tcPr>
          <w:p w14:paraId="550B639B">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评分标准</w:t>
            </w:r>
          </w:p>
        </w:tc>
        <w:tc>
          <w:tcPr>
            <w:tcW w:w="4527" w:type="dxa"/>
            <w:tcBorders>
              <w:top w:val="single" w:color="auto" w:sz="4" w:space="0"/>
              <w:left w:val="nil"/>
              <w:bottom w:val="single" w:color="auto" w:sz="4" w:space="0"/>
              <w:right w:val="single" w:color="auto" w:sz="4" w:space="0"/>
            </w:tcBorders>
            <w:shd w:val="clear" w:color="auto" w:fill="auto"/>
            <w:vAlign w:val="center"/>
          </w:tcPr>
          <w:p w14:paraId="51A22AC2">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备注</w:t>
            </w:r>
          </w:p>
        </w:tc>
      </w:tr>
      <w:tr w14:paraId="7A571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5"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00FF5648">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总体概述</w:t>
            </w:r>
          </w:p>
          <w:p w14:paraId="6EBD40FB">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（3分）</w:t>
            </w:r>
          </w:p>
        </w:tc>
        <w:tc>
          <w:tcPr>
            <w:tcW w:w="3715" w:type="dxa"/>
            <w:tcBorders>
              <w:top w:val="single" w:color="auto" w:sz="4" w:space="0"/>
              <w:left w:val="nil"/>
              <w:bottom w:val="single" w:color="auto" w:sz="4" w:space="0"/>
              <w:right w:val="single" w:color="auto" w:sz="4" w:space="0"/>
            </w:tcBorders>
            <w:shd w:val="clear" w:color="auto" w:fill="auto"/>
            <w:vAlign w:val="center"/>
          </w:tcPr>
          <w:p w14:paraId="50100BDE">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【优】得该项因素分的90%～100%（含90%）；</w:t>
            </w:r>
          </w:p>
          <w:p w14:paraId="7AF9EDAA">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【良】得该项因素分的80%～90%（含80%）；</w:t>
            </w:r>
          </w:p>
          <w:p w14:paraId="1C4B9C9D">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【中】得该项因素分的70%～80%（含70%）；</w:t>
            </w:r>
          </w:p>
          <w:p w14:paraId="74E02E4E">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right="0"/>
              <w:jc w:val="left"/>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【差】得该项因素分的60%～70%（含60%）。</w:t>
            </w:r>
          </w:p>
        </w:tc>
        <w:tc>
          <w:tcPr>
            <w:tcW w:w="4527" w:type="dxa"/>
            <w:tcBorders>
              <w:top w:val="single" w:color="auto" w:sz="4" w:space="0"/>
              <w:left w:val="nil"/>
              <w:bottom w:val="single" w:color="auto" w:sz="4" w:space="0"/>
              <w:right w:val="single" w:color="auto" w:sz="4" w:space="0"/>
            </w:tcBorders>
            <w:shd w:val="clear" w:color="auto" w:fill="auto"/>
            <w:vAlign w:val="center"/>
          </w:tcPr>
          <w:p w14:paraId="10F59AE5">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right="0"/>
              <w:jc w:val="left"/>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【优】对项目总体有深刻认识，表述清晰、完整、严谨、合理，措施先进、具体、有效、成熟，采用了新技术、新工艺、新材料、新设备；施工段划分呼应总体表述，划分清晰、合理，符合规范要求。</w:t>
            </w:r>
          </w:p>
          <w:p w14:paraId="26B84603">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right="0"/>
              <w:jc w:val="left"/>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【良】对项目总体有一定认识，表述清晰、完整，措施具体有效；施工段划分呼应总体表述，划分清晰，符合规范要求。</w:t>
            </w:r>
          </w:p>
          <w:p w14:paraId="36F02F6C">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right="0"/>
              <w:jc w:val="left"/>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【中】对项目总体有认识，有一定的措施但部分不具体；施工段划分较合理，符合规范要求。</w:t>
            </w:r>
          </w:p>
          <w:p w14:paraId="56A3CB80">
            <w:pPr>
              <w:keepNext w:val="0"/>
              <w:keepLines w:val="0"/>
              <w:widowControl w:val="0"/>
              <w:suppressLineNumbers w:val="0"/>
              <w:wordWrap w:val="0"/>
              <w:autoSpaceDE w:val="0"/>
              <w:autoSpaceDN/>
              <w:adjustRightInd w:val="0"/>
              <w:snapToGrid w:val="0"/>
              <w:spacing w:before="0" w:beforeAutospacing="0" w:after="0" w:afterLines="0" w:afterAutospacing="0" w:line="400" w:lineRule="exact"/>
              <w:ind w:left="0" w:right="0"/>
              <w:jc w:val="left"/>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【差】对项目认识不足，表述不清晰，措施不具体；施工段划分不合理。</w:t>
            </w:r>
          </w:p>
        </w:tc>
      </w:tr>
      <w:tr w14:paraId="3192F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17576A61">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施工总进</w:t>
            </w:r>
          </w:p>
          <w:p w14:paraId="42B60D54">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度计划及</w:t>
            </w:r>
          </w:p>
          <w:p w14:paraId="750FBBDD">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保证措施</w:t>
            </w:r>
          </w:p>
          <w:p w14:paraId="05EEBF73">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（3分）</w:t>
            </w:r>
          </w:p>
        </w:tc>
        <w:tc>
          <w:tcPr>
            <w:tcW w:w="3715" w:type="dxa"/>
            <w:tcBorders>
              <w:top w:val="single" w:color="auto" w:sz="4" w:space="0"/>
              <w:left w:val="nil"/>
              <w:bottom w:val="single" w:color="auto" w:sz="4" w:space="0"/>
              <w:right w:val="single" w:color="auto" w:sz="4" w:space="0"/>
            </w:tcBorders>
            <w:shd w:val="clear" w:color="auto" w:fill="auto"/>
            <w:vAlign w:val="center"/>
          </w:tcPr>
          <w:p w14:paraId="4CD03FB5">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【优】得该项因素分的90%～100%（含90%）；</w:t>
            </w:r>
          </w:p>
          <w:p w14:paraId="5E730A33">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【良】得该项因素分的80%～90%（含80%）；</w:t>
            </w:r>
          </w:p>
          <w:p w14:paraId="5F91761D">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【中】得该项因素分的70%～80%（含70%）；</w:t>
            </w:r>
          </w:p>
          <w:p w14:paraId="3AF1EA98">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【差】得该项因素分的60%～70%（含60%）。</w:t>
            </w:r>
          </w:p>
        </w:tc>
        <w:tc>
          <w:tcPr>
            <w:tcW w:w="4527" w:type="dxa"/>
            <w:tcBorders>
              <w:top w:val="single" w:color="auto" w:sz="4" w:space="0"/>
              <w:left w:val="nil"/>
              <w:bottom w:val="single" w:color="auto" w:sz="4" w:space="0"/>
              <w:right w:val="single" w:color="auto" w:sz="4" w:space="0"/>
            </w:tcBorders>
            <w:shd w:val="clear" w:color="auto" w:fill="auto"/>
            <w:vAlign w:val="center"/>
          </w:tcPr>
          <w:p w14:paraId="33FE50C3">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2E234D3E">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712E987C">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【中】关键线路基本准确，计划编制基本合理。关键节点的控制措施基本可行。人、材、机需求和进场计划与进度计划相呼应，基本满足施工需要，调配投入计划基本合理。进度违约责任承诺具体。</w:t>
            </w:r>
          </w:p>
          <w:p w14:paraId="5F36D756">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【差】关键线路不准确，计划编制不合理。关键节点的控制不可行。人、材、机需求和进场计划与进度计划不相呼应，不能满足施工需要。没有违约责任承诺。</w:t>
            </w:r>
          </w:p>
        </w:tc>
      </w:tr>
      <w:tr w14:paraId="1E7E4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4B3D1180">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质量</w:t>
            </w:r>
          </w:p>
          <w:p w14:paraId="09604583">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保证措施</w:t>
            </w:r>
          </w:p>
          <w:p w14:paraId="3E847096">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（3分）</w:t>
            </w:r>
          </w:p>
        </w:tc>
        <w:tc>
          <w:tcPr>
            <w:tcW w:w="3715" w:type="dxa"/>
            <w:tcBorders>
              <w:top w:val="single" w:color="auto" w:sz="4" w:space="0"/>
              <w:left w:val="nil"/>
              <w:bottom w:val="single" w:color="auto" w:sz="4" w:space="0"/>
              <w:right w:val="single" w:color="auto" w:sz="4" w:space="0"/>
            </w:tcBorders>
            <w:shd w:val="clear" w:color="auto" w:fill="auto"/>
            <w:vAlign w:val="center"/>
          </w:tcPr>
          <w:p w14:paraId="308AEAFD">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【优】得该项因素分的90%～100%（含90%）；</w:t>
            </w:r>
          </w:p>
          <w:p w14:paraId="333F5ED1">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【良】得该项因素分的80%～90%（含80%）；</w:t>
            </w:r>
          </w:p>
          <w:p w14:paraId="142CB9F7">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【中】得该项因素分的70%～80%（含70%）；</w:t>
            </w:r>
          </w:p>
          <w:p w14:paraId="1E6E02B9">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【差】得该项因素分的60%～70%（含60%）。</w:t>
            </w:r>
          </w:p>
        </w:tc>
        <w:tc>
          <w:tcPr>
            <w:tcW w:w="4527" w:type="dxa"/>
            <w:tcBorders>
              <w:top w:val="single" w:color="auto" w:sz="4" w:space="0"/>
              <w:left w:val="nil"/>
              <w:bottom w:val="single" w:color="auto" w:sz="4" w:space="0"/>
              <w:right w:val="single" w:color="auto" w:sz="4" w:space="0"/>
            </w:tcBorders>
            <w:shd w:val="clear" w:color="auto" w:fill="auto"/>
            <w:vAlign w:val="center"/>
          </w:tcPr>
          <w:p w14:paraId="42DF643C">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【优】应用新技术、新工艺、新材料、新设备，针对项目实际提出先进、可行、具体的保证措施。超过招标文件的质量要求。</w:t>
            </w:r>
          </w:p>
          <w:p w14:paraId="3C4B6F3E">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【良】针对项目实际提出先进、可行、具体的保证措施。满足招标文件的质量要求。</w:t>
            </w:r>
          </w:p>
          <w:p w14:paraId="5BE13B42">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【中】具体措施可行。满足招标文件的质量要求。</w:t>
            </w:r>
          </w:p>
          <w:p w14:paraId="2EBD7695">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【差】措施不可行，没有质量违约责任承诺。</w:t>
            </w:r>
          </w:p>
        </w:tc>
      </w:tr>
      <w:tr w14:paraId="3A17F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6CE89D5F">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施工</w:t>
            </w:r>
          </w:p>
          <w:p w14:paraId="3DF29604">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技术措施</w:t>
            </w:r>
          </w:p>
          <w:p w14:paraId="1E4F2919">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（3分）</w:t>
            </w:r>
          </w:p>
        </w:tc>
        <w:tc>
          <w:tcPr>
            <w:tcW w:w="3715" w:type="dxa"/>
            <w:tcBorders>
              <w:top w:val="single" w:color="auto" w:sz="4" w:space="0"/>
              <w:left w:val="nil"/>
              <w:bottom w:val="single" w:color="auto" w:sz="4" w:space="0"/>
              <w:right w:val="single" w:color="auto" w:sz="4" w:space="0"/>
            </w:tcBorders>
            <w:shd w:val="clear" w:color="auto" w:fill="auto"/>
            <w:vAlign w:val="center"/>
          </w:tcPr>
          <w:p w14:paraId="2BB3FF5B">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【优】得该项因素分的90%～100%（含90%）；</w:t>
            </w:r>
          </w:p>
          <w:p w14:paraId="20A35C00">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【良】得该项因素分的80%～90%（含80%）；</w:t>
            </w:r>
          </w:p>
          <w:p w14:paraId="023B89D1">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【中】得该项因素分的70%～80%（含70%）；</w:t>
            </w:r>
          </w:p>
          <w:p w14:paraId="0228C936">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【差】得该项因素分的60%～70%（含60%）。</w:t>
            </w:r>
          </w:p>
        </w:tc>
        <w:tc>
          <w:tcPr>
            <w:tcW w:w="4527" w:type="dxa"/>
            <w:tcBorders>
              <w:top w:val="single" w:color="auto" w:sz="4" w:space="0"/>
              <w:left w:val="nil"/>
              <w:bottom w:val="single" w:color="auto" w:sz="4" w:space="0"/>
              <w:right w:val="single" w:color="auto" w:sz="4" w:space="0"/>
            </w:tcBorders>
            <w:shd w:val="clear" w:color="auto" w:fill="auto"/>
            <w:vAlign w:val="center"/>
          </w:tcPr>
          <w:p w14:paraId="31A6D7A6">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6EDC62C4">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096ECF4F">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69F21F2C">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【差】对项目关键技术有表述，对重点、难点有建议，解决方案不可行。采用的新技术针对性不强或验证材料不可靠，对节约投资、工期没有具体收益。无违约责任承诺。</w:t>
            </w:r>
          </w:p>
        </w:tc>
      </w:tr>
      <w:tr w14:paraId="11E80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35C4E00D">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绿色施工、安全防护、文明施工措施计划</w:t>
            </w:r>
          </w:p>
          <w:p w14:paraId="55761CDA">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（3分）</w:t>
            </w:r>
          </w:p>
        </w:tc>
        <w:tc>
          <w:tcPr>
            <w:tcW w:w="3715" w:type="dxa"/>
            <w:tcBorders>
              <w:top w:val="single" w:color="auto" w:sz="4" w:space="0"/>
              <w:left w:val="nil"/>
              <w:bottom w:val="single" w:color="auto" w:sz="4" w:space="0"/>
              <w:right w:val="single" w:color="auto" w:sz="4" w:space="0"/>
            </w:tcBorders>
            <w:shd w:val="clear" w:color="auto" w:fill="auto"/>
            <w:vAlign w:val="center"/>
          </w:tcPr>
          <w:p w14:paraId="5C2FAD56">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【优】得该项因素分的90%～100%（含90%）；</w:t>
            </w:r>
          </w:p>
          <w:p w14:paraId="1481769A">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【良】得该项因素分的80%～90%（含80%）；</w:t>
            </w:r>
          </w:p>
          <w:p w14:paraId="09319CF4">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【中】得该项因素分的70%～80%（含70%）；</w:t>
            </w:r>
          </w:p>
          <w:p w14:paraId="1286DE2F">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【差】得该项因素分的60%～70%（含60%）。</w:t>
            </w:r>
          </w:p>
        </w:tc>
        <w:tc>
          <w:tcPr>
            <w:tcW w:w="4527" w:type="dxa"/>
            <w:tcBorders>
              <w:top w:val="single" w:color="auto" w:sz="4" w:space="0"/>
              <w:left w:val="nil"/>
              <w:bottom w:val="single" w:color="auto" w:sz="4" w:space="0"/>
              <w:right w:val="single" w:color="auto" w:sz="4" w:space="0"/>
            </w:tcBorders>
            <w:shd w:val="clear" w:color="auto" w:fill="auto"/>
            <w:vAlign w:val="center"/>
          </w:tcPr>
          <w:p w14:paraId="43489C20">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【优】针对项目实际情况，有先进、具体、完整、可行的措施，采用规范准确、清晰。</w:t>
            </w:r>
          </w:p>
          <w:p w14:paraId="62598AEE">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【良】针对项目实际情况，有合理的措施且具体、完整，采用规范准确。</w:t>
            </w:r>
          </w:p>
          <w:p w14:paraId="042863C2">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【中】有基本合理的措施，采用规范准确。</w:t>
            </w:r>
          </w:p>
          <w:p w14:paraId="2CD9C9CF">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【差】措施不力，采用规范不正确。</w:t>
            </w:r>
          </w:p>
        </w:tc>
      </w:tr>
      <w:tr w14:paraId="6F4E7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33CB3611">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施工平面</w:t>
            </w:r>
          </w:p>
          <w:p w14:paraId="668285BE">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布置和临时设施布置</w:t>
            </w:r>
          </w:p>
          <w:p w14:paraId="61027503">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（2分）</w:t>
            </w:r>
          </w:p>
        </w:tc>
        <w:tc>
          <w:tcPr>
            <w:tcW w:w="3715" w:type="dxa"/>
            <w:tcBorders>
              <w:top w:val="single" w:color="auto" w:sz="4" w:space="0"/>
              <w:left w:val="nil"/>
              <w:bottom w:val="single" w:color="auto" w:sz="4" w:space="0"/>
              <w:right w:val="single" w:color="auto" w:sz="4" w:space="0"/>
            </w:tcBorders>
            <w:shd w:val="clear" w:color="auto" w:fill="auto"/>
            <w:vAlign w:val="center"/>
          </w:tcPr>
          <w:p w14:paraId="475D7862">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【优】得该项因素分的90%～100%（含90%）；</w:t>
            </w:r>
          </w:p>
          <w:p w14:paraId="6B8B28EA">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【良】得该项因素分的80%～90%（含80%）；</w:t>
            </w:r>
          </w:p>
          <w:p w14:paraId="0727C049">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【中】得该项因素分的70%～80%（含70%）；</w:t>
            </w:r>
          </w:p>
          <w:p w14:paraId="47B908BE">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【差】得该项因素分的60%～70%（含60%）。</w:t>
            </w:r>
          </w:p>
        </w:tc>
        <w:tc>
          <w:tcPr>
            <w:tcW w:w="4527" w:type="dxa"/>
            <w:tcBorders>
              <w:top w:val="single" w:color="auto" w:sz="4" w:space="0"/>
              <w:left w:val="nil"/>
              <w:bottom w:val="single" w:color="auto" w:sz="4" w:space="0"/>
              <w:right w:val="single" w:color="auto" w:sz="4" w:space="0"/>
            </w:tcBorders>
            <w:shd w:val="clear" w:color="auto" w:fill="auto"/>
            <w:vAlign w:val="center"/>
          </w:tcPr>
          <w:p w14:paraId="218BF011">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【优】总体布置有针对性、合理，较好满足施工需要，符合绿色施工、安全防护、文明施工要求。</w:t>
            </w:r>
          </w:p>
          <w:p w14:paraId="30EAED70">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【良】总体布置合理，能满足施工需要，基本符合绿色施工、安全防护、文明施工要求。</w:t>
            </w:r>
          </w:p>
          <w:p w14:paraId="70775EF4">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【中】总体布置基本合理，基本满足施工需要。</w:t>
            </w:r>
          </w:p>
          <w:p w14:paraId="210B1E69">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【差】总体布置不合理，不符合绿色施工、安全防护、文明施工要求。</w:t>
            </w:r>
          </w:p>
        </w:tc>
      </w:tr>
      <w:tr w14:paraId="04302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6D822A24">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项目</w:t>
            </w:r>
          </w:p>
          <w:p w14:paraId="41FEB716">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管理机构</w:t>
            </w:r>
          </w:p>
          <w:p w14:paraId="63C0EB7D">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（3分）</w:t>
            </w:r>
          </w:p>
        </w:tc>
        <w:tc>
          <w:tcPr>
            <w:tcW w:w="3715" w:type="dxa"/>
            <w:tcBorders>
              <w:top w:val="single" w:color="auto" w:sz="4" w:space="0"/>
              <w:left w:val="nil"/>
              <w:bottom w:val="single" w:color="auto" w:sz="4" w:space="0"/>
              <w:right w:val="single" w:color="auto" w:sz="4" w:space="0"/>
            </w:tcBorders>
            <w:shd w:val="clear" w:color="auto" w:fill="auto"/>
            <w:vAlign w:val="center"/>
          </w:tcPr>
          <w:p w14:paraId="69CAE459">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【优】得该项因素分的90%～100%（含90%）；</w:t>
            </w:r>
          </w:p>
          <w:p w14:paraId="7544EE21">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【良】得该项因素分的80%～90%（含80%）；</w:t>
            </w:r>
          </w:p>
          <w:p w14:paraId="6C32469B">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【中】得该项因素分的70%～80%（含70%）；</w:t>
            </w:r>
          </w:p>
          <w:p w14:paraId="1779B602">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【差】得该项因素分的60%～70%（含60%）。</w:t>
            </w:r>
          </w:p>
        </w:tc>
        <w:tc>
          <w:tcPr>
            <w:tcW w:w="4527" w:type="dxa"/>
            <w:tcBorders>
              <w:top w:val="single" w:color="auto" w:sz="4" w:space="0"/>
              <w:left w:val="nil"/>
              <w:bottom w:val="single" w:color="auto" w:sz="4" w:space="0"/>
              <w:right w:val="single" w:color="auto" w:sz="4" w:space="0"/>
            </w:tcBorders>
            <w:shd w:val="clear" w:color="auto" w:fill="auto"/>
            <w:vAlign w:val="center"/>
          </w:tcPr>
          <w:p w14:paraId="4D5CFFFF">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优】组织机构形式合理，有完善的指挥系统，生产及质量、绿色施工、安全、文明施工、创优达标监控系统、联络协调系统，项目管理人员内高级职称人员20%（含20%）以上、中级职称人员及以上职称60%（含60%）以上。</w:t>
            </w:r>
          </w:p>
          <w:p w14:paraId="11640126">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良】组织机构形式合理，指挥系统，生产及质量、绿色施工、安全、文明施工、创优达标监控系统、联络协调系统齐全，项目管理人员内高级职称人员15%～20%（含15%）、中级职称人员及以上职称50%～60%（含50%）。</w:t>
            </w:r>
          </w:p>
          <w:p w14:paraId="096DC590">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中】组织机构形式基本合理，有指挥系统，生产及质量、绿色施工、安全、文明施工、创优达标监控系统、联络协调系统，项目管理人员内高级职称人员10%～15%（含10%）、中级职称人员及以上职称40%～50%（含40%）。</w:t>
            </w:r>
          </w:p>
          <w:p w14:paraId="6EC4F031">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【差】组织机构形式合理，指挥系统，生产及质量、绿色施工、安全、文明施工、创优达标监控系统、联络协调系统不齐全，项目管理人员内高级职称人员10%以下、中级职称人员及以上职称40%以下。</w:t>
            </w:r>
          </w:p>
        </w:tc>
      </w:tr>
      <w:tr w14:paraId="6350E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434"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6DF2B865">
            <w:pPr>
              <w:keepNext w:val="0"/>
              <w:keepLines w:val="0"/>
              <w:widowControl w:val="0"/>
              <w:suppressLineNumbers w:val="0"/>
              <w:autoSpaceDE w:val="0"/>
              <w:autoSpaceDN/>
              <w:adjustRightInd w:val="0"/>
              <w:spacing w:before="0" w:beforeAutospacing="0" w:after="0" w:afterAutospacing="0" w:line="400" w:lineRule="exact"/>
              <w:ind w:left="0"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snapToGrid w:val="0"/>
                <w:color w:val="auto"/>
                <w:kern w:val="0"/>
                <w:sz w:val="24"/>
                <w:szCs w:val="24"/>
                <w:highlight w:val="none"/>
                <w:vertAlign w:val="baseline"/>
                <w:lang w:val="en-US" w:eastAsia="zh-CN" w:bidi="ar"/>
              </w:rPr>
              <w:t>投标报价部分，满分：100分。</w:t>
            </w:r>
          </w:p>
        </w:tc>
      </w:tr>
      <w:tr w14:paraId="3C7F1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5EA4D06F">
            <w:pPr>
              <w:keepNext w:val="0"/>
              <w:keepLines w:val="0"/>
              <w:widowControl w:val="0"/>
              <w:suppressLineNumbers w:val="0"/>
              <w:autoSpaceDE w:val="0"/>
              <w:autoSpaceDN/>
              <w:adjustRightInd w:val="0"/>
              <w:spacing w:before="0" w:beforeAutospacing="0" w:after="0" w:afterAutospacing="0" w:line="400" w:lineRule="exact"/>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snapToGrid w:val="0"/>
                <w:color w:val="auto"/>
                <w:kern w:val="0"/>
                <w:sz w:val="24"/>
                <w:szCs w:val="24"/>
                <w:highlight w:val="none"/>
                <w:vertAlign w:val="baseline"/>
                <w:lang w:val="en-US" w:eastAsia="zh-CN" w:bidi="ar"/>
              </w:rPr>
              <w:t>评分事项</w:t>
            </w:r>
          </w:p>
        </w:tc>
        <w:tc>
          <w:tcPr>
            <w:tcW w:w="8242" w:type="dxa"/>
            <w:gridSpan w:val="2"/>
            <w:tcBorders>
              <w:top w:val="single" w:color="auto" w:sz="4" w:space="0"/>
              <w:left w:val="nil"/>
              <w:bottom w:val="single" w:color="auto" w:sz="4" w:space="0"/>
              <w:right w:val="single" w:color="auto" w:sz="4" w:space="0"/>
            </w:tcBorders>
            <w:shd w:val="clear" w:color="auto" w:fill="auto"/>
            <w:vAlign w:val="center"/>
          </w:tcPr>
          <w:p w14:paraId="6E4542EB">
            <w:pPr>
              <w:keepNext w:val="0"/>
              <w:keepLines w:val="0"/>
              <w:widowControl w:val="0"/>
              <w:suppressLineNumbers w:val="0"/>
              <w:autoSpaceDE w:val="0"/>
              <w:autoSpaceDN/>
              <w:adjustRightInd w:val="0"/>
              <w:spacing w:before="0" w:beforeAutospacing="0" w:after="0" w:afterAutospacing="0" w:line="400" w:lineRule="exact"/>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snapToGrid w:val="0"/>
                <w:color w:val="auto"/>
                <w:kern w:val="0"/>
                <w:sz w:val="24"/>
                <w:szCs w:val="24"/>
                <w:highlight w:val="none"/>
                <w:vertAlign w:val="baseline"/>
                <w:lang w:val="en-US" w:eastAsia="zh-CN" w:bidi="ar"/>
              </w:rPr>
              <w:t>评分方法</w:t>
            </w:r>
          </w:p>
        </w:tc>
      </w:tr>
      <w:tr w14:paraId="182BD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1D4C3975">
            <w:pPr>
              <w:keepNext w:val="0"/>
              <w:keepLines w:val="0"/>
              <w:widowControl w:val="0"/>
              <w:suppressLineNumbers w:val="0"/>
              <w:autoSpaceDE w:val="0"/>
              <w:autoSpaceDN/>
              <w:adjustRightInd w:val="0"/>
              <w:spacing w:before="0" w:beforeAutospacing="0" w:after="0" w:afterAutospacing="0" w:line="400" w:lineRule="exact"/>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snapToGrid w:val="0"/>
                <w:color w:val="auto"/>
                <w:kern w:val="0"/>
                <w:sz w:val="24"/>
                <w:szCs w:val="24"/>
                <w:highlight w:val="none"/>
                <w:vertAlign w:val="baseline"/>
                <w:lang w:val="en-US" w:eastAsia="zh-CN" w:bidi="ar"/>
              </w:rPr>
              <w:t>评标基准价D</w:t>
            </w:r>
          </w:p>
        </w:tc>
        <w:tc>
          <w:tcPr>
            <w:tcW w:w="8242" w:type="dxa"/>
            <w:gridSpan w:val="2"/>
            <w:tcBorders>
              <w:top w:val="single" w:color="auto" w:sz="4" w:space="0"/>
              <w:left w:val="nil"/>
              <w:bottom w:val="single" w:color="auto" w:sz="4" w:space="0"/>
              <w:right w:val="single" w:color="auto" w:sz="4" w:space="0"/>
            </w:tcBorders>
            <w:shd w:val="clear" w:color="auto" w:fill="auto"/>
            <w:vAlign w:val="center"/>
          </w:tcPr>
          <w:p w14:paraId="6BA10D97">
            <w:pPr>
              <w:keepNext w:val="0"/>
              <w:keepLines w:val="0"/>
              <w:widowControl/>
              <w:numPr>
                <w:ilvl w:val="0"/>
                <w:numId w:val="1"/>
              </w:numPr>
              <w:suppressLineNumbers w:val="0"/>
              <w:autoSpaceDE w:val="0"/>
              <w:autoSpaceDN/>
              <w:spacing w:before="0" w:beforeAutospacing="0" w:after="0" w:afterAutospacing="0" w:line="400" w:lineRule="exact"/>
              <w:ind w:left="0" w:right="0"/>
              <w:jc w:val="left"/>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确定</w:t>
            </w:r>
            <w:r>
              <w:rPr>
                <w:rFonts w:hint="eastAsia" w:ascii="宋体" w:hAnsi="宋体" w:eastAsia="宋体" w:cs="宋体"/>
                <w:b/>
                <w:bCs/>
                <w:snapToGrid w:val="0"/>
                <w:color w:val="auto"/>
                <w:kern w:val="0"/>
                <w:sz w:val="24"/>
                <w:szCs w:val="24"/>
                <w:highlight w:val="none"/>
                <w:lang w:val="en-US" w:eastAsia="zh-CN" w:bidi="ar"/>
              </w:rPr>
              <w:t>最高投标限价</w:t>
            </w:r>
            <w:r>
              <w:rPr>
                <w:rFonts w:hint="eastAsia" w:ascii="宋体" w:hAnsi="宋体" w:eastAsia="宋体" w:cs="宋体"/>
                <w:snapToGrid w:val="0"/>
                <w:color w:val="auto"/>
                <w:kern w:val="0"/>
                <w:sz w:val="24"/>
                <w:szCs w:val="24"/>
                <w:highlight w:val="none"/>
                <w:lang w:val="en-US" w:eastAsia="zh-CN" w:bidi="ar"/>
              </w:rPr>
              <w:t>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lang w:val="en-US" w:eastAsia="zh-CN" w:bidi="ar"/>
              </w:rPr>
              <w:t xml:space="preserve"> 3 </w:t>
            </w:r>
            <w:r>
              <w:rPr>
                <w:rFonts w:hint="eastAsia" w:ascii="宋体" w:hAnsi="宋体" w:eastAsia="宋体" w:cs="宋体"/>
                <w:snapToGrid w:val="0"/>
                <w:color w:val="auto"/>
                <w:kern w:val="0"/>
                <w:sz w:val="24"/>
                <w:szCs w:val="24"/>
                <w:highlight w:val="none"/>
                <w:lang w:val="en-US" w:eastAsia="zh-CN" w:bidi="ar"/>
              </w:rPr>
              <w:t>次，每次抽取1个号码，抽出的号球不参与下次抽取。所抽取的3个号码对应下浮系数的算术平均值作为</w:t>
            </w:r>
            <w:r>
              <w:rPr>
                <w:rFonts w:hint="eastAsia" w:ascii="宋体" w:hAnsi="宋体" w:eastAsia="宋体" w:cs="宋体"/>
                <w:b/>
                <w:bCs/>
                <w:snapToGrid w:val="0"/>
                <w:color w:val="auto"/>
                <w:kern w:val="0"/>
                <w:sz w:val="24"/>
                <w:szCs w:val="24"/>
                <w:highlight w:val="none"/>
                <w:lang w:val="en-US" w:eastAsia="zh-CN" w:bidi="ar"/>
              </w:rPr>
              <w:t>最高投标限价</w:t>
            </w:r>
            <w:r>
              <w:rPr>
                <w:rFonts w:hint="eastAsia" w:ascii="宋体" w:hAnsi="宋体" w:eastAsia="宋体" w:cs="宋体"/>
                <w:snapToGrid w:val="0"/>
                <w:color w:val="auto"/>
                <w:kern w:val="0"/>
                <w:sz w:val="24"/>
                <w:szCs w:val="24"/>
                <w:highlight w:val="none"/>
                <w:lang w:val="en-US" w:eastAsia="zh-CN" w:bidi="ar"/>
              </w:rPr>
              <w:t>下浮系数n。具体号码对应的下浮系数见下表。</w:t>
            </w:r>
          </w:p>
          <w:tbl>
            <w:tblPr>
              <w:tblStyle w:val="16"/>
              <w:tblW w:w="0" w:type="auto"/>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25"/>
              <w:gridCol w:w="735"/>
              <w:gridCol w:w="902"/>
              <w:gridCol w:w="940"/>
              <w:gridCol w:w="922"/>
              <w:gridCol w:w="959"/>
              <w:gridCol w:w="901"/>
              <w:gridCol w:w="890"/>
            </w:tblGrid>
            <w:tr w14:paraId="7C1B4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25"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2B52CD9C">
                  <w:pPr>
                    <w:keepNext w:val="0"/>
                    <w:keepLines w:val="0"/>
                    <w:widowControl w:val="0"/>
                    <w:suppressLineNumbers w:val="0"/>
                    <w:autoSpaceDE w:val="0"/>
                    <w:autoSpaceDN/>
                    <w:adjustRightInd w:val="0"/>
                    <w:spacing w:before="0" w:beforeAutospacing="0" w:after="0" w:afterAutospacing="0" w:line="400" w:lineRule="exact"/>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snapToGrid w:val="0"/>
                      <w:color w:val="auto"/>
                      <w:kern w:val="0"/>
                      <w:sz w:val="24"/>
                      <w:szCs w:val="24"/>
                      <w:highlight w:val="none"/>
                      <w:vertAlign w:val="baseline"/>
                      <w:lang w:val="en-US" w:eastAsia="zh-CN" w:bidi="ar"/>
                    </w:rPr>
                    <w:t>号球</w:t>
                  </w:r>
                </w:p>
              </w:tc>
              <w:tc>
                <w:tcPr>
                  <w:tcW w:w="735" w:type="dxa"/>
                  <w:tcBorders>
                    <w:top w:val="single" w:color="000000" w:sz="4" w:space="0"/>
                    <w:left w:val="nil"/>
                    <w:bottom w:val="single" w:color="000000" w:sz="4" w:space="0"/>
                    <w:right w:val="single" w:color="000000" w:sz="4" w:space="0"/>
                  </w:tcBorders>
                  <w:shd w:val="clear" w:color="auto" w:fill="D7D7D7"/>
                  <w:vAlign w:val="center"/>
                </w:tcPr>
                <w:p w14:paraId="0A9E17D7">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1</w:t>
                  </w:r>
                </w:p>
              </w:tc>
              <w:tc>
                <w:tcPr>
                  <w:tcW w:w="902" w:type="dxa"/>
                  <w:tcBorders>
                    <w:top w:val="single" w:color="000000" w:sz="4" w:space="0"/>
                    <w:left w:val="nil"/>
                    <w:bottom w:val="single" w:color="000000" w:sz="4" w:space="0"/>
                    <w:right w:val="single" w:color="000000" w:sz="4" w:space="0"/>
                  </w:tcBorders>
                  <w:shd w:val="clear" w:color="auto" w:fill="D7D7D7"/>
                  <w:vAlign w:val="center"/>
                </w:tcPr>
                <w:p w14:paraId="27FEBC4E">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2</w:t>
                  </w:r>
                </w:p>
              </w:tc>
              <w:tc>
                <w:tcPr>
                  <w:tcW w:w="940" w:type="dxa"/>
                  <w:tcBorders>
                    <w:top w:val="single" w:color="000000" w:sz="4" w:space="0"/>
                    <w:left w:val="nil"/>
                    <w:bottom w:val="single" w:color="000000" w:sz="4" w:space="0"/>
                    <w:right w:val="single" w:color="000000" w:sz="4" w:space="0"/>
                  </w:tcBorders>
                  <w:shd w:val="clear" w:color="auto" w:fill="D7D7D7"/>
                  <w:vAlign w:val="center"/>
                </w:tcPr>
                <w:p w14:paraId="1502BB9E">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3</w:t>
                  </w:r>
                </w:p>
              </w:tc>
              <w:tc>
                <w:tcPr>
                  <w:tcW w:w="922" w:type="dxa"/>
                  <w:tcBorders>
                    <w:top w:val="single" w:color="000000" w:sz="4" w:space="0"/>
                    <w:left w:val="nil"/>
                    <w:bottom w:val="single" w:color="000000" w:sz="4" w:space="0"/>
                    <w:right w:val="single" w:color="000000" w:sz="4" w:space="0"/>
                  </w:tcBorders>
                  <w:shd w:val="clear" w:color="auto" w:fill="D7D7D7"/>
                  <w:vAlign w:val="center"/>
                </w:tcPr>
                <w:p w14:paraId="47163379">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4</w:t>
                  </w:r>
                </w:p>
              </w:tc>
              <w:tc>
                <w:tcPr>
                  <w:tcW w:w="959" w:type="dxa"/>
                  <w:tcBorders>
                    <w:top w:val="single" w:color="000000" w:sz="4" w:space="0"/>
                    <w:left w:val="nil"/>
                    <w:bottom w:val="single" w:color="000000" w:sz="4" w:space="0"/>
                    <w:right w:val="single" w:color="000000" w:sz="4" w:space="0"/>
                  </w:tcBorders>
                  <w:shd w:val="clear" w:color="auto" w:fill="D7D7D7"/>
                  <w:vAlign w:val="center"/>
                </w:tcPr>
                <w:p w14:paraId="498B7D6E">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5</w:t>
                  </w:r>
                </w:p>
              </w:tc>
              <w:tc>
                <w:tcPr>
                  <w:tcW w:w="901" w:type="dxa"/>
                  <w:tcBorders>
                    <w:top w:val="single" w:color="000000" w:sz="4" w:space="0"/>
                    <w:left w:val="nil"/>
                    <w:bottom w:val="single" w:color="000000" w:sz="4" w:space="0"/>
                    <w:right w:val="single" w:color="000000" w:sz="4" w:space="0"/>
                  </w:tcBorders>
                  <w:shd w:val="clear" w:color="auto" w:fill="D7D7D7"/>
                  <w:vAlign w:val="center"/>
                </w:tcPr>
                <w:p w14:paraId="531BBAA0">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6</w:t>
                  </w:r>
                </w:p>
              </w:tc>
              <w:tc>
                <w:tcPr>
                  <w:tcW w:w="890" w:type="dxa"/>
                  <w:tcBorders>
                    <w:top w:val="single" w:color="000000" w:sz="4" w:space="0"/>
                    <w:left w:val="nil"/>
                    <w:bottom w:val="single" w:color="000000" w:sz="4" w:space="0"/>
                    <w:right w:val="single" w:color="000000" w:sz="4" w:space="0"/>
                  </w:tcBorders>
                  <w:shd w:val="clear" w:color="auto" w:fill="D7D7D7"/>
                  <w:vAlign w:val="center"/>
                </w:tcPr>
                <w:p w14:paraId="365F4FEF">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7</w:t>
                  </w:r>
                </w:p>
              </w:tc>
            </w:tr>
            <w:tr w14:paraId="1EF29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13A0">
                  <w:pPr>
                    <w:keepNext w:val="0"/>
                    <w:keepLines w:val="0"/>
                    <w:widowControl w:val="0"/>
                    <w:suppressLineNumbers w:val="0"/>
                    <w:autoSpaceDE w:val="0"/>
                    <w:autoSpaceDN/>
                    <w:adjustRightInd w:val="0"/>
                    <w:spacing w:before="0" w:beforeAutospacing="0" w:after="0" w:afterAutospacing="0" w:line="400" w:lineRule="exact"/>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snapToGrid w:val="0"/>
                      <w:color w:val="auto"/>
                      <w:kern w:val="0"/>
                      <w:sz w:val="24"/>
                      <w:szCs w:val="24"/>
                      <w:highlight w:val="none"/>
                      <w:vertAlign w:val="baseline"/>
                      <w:lang w:val="en-US" w:eastAsia="zh-CN" w:bidi="ar"/>
                    </w:rPr>
                    <w:t>下浮系数（%）</w:t>
                  </w:r>
                </w:p>
              </w:tc>
              <w:tc>
                <w:tcPr>
                  <w:tcW w:w="735" w:type="dxa"/>
                  <w:tcBorders>
                    <w:top w:val="single" w:color="000000" w:sz="4" w:space="0"/>
                    <w:left w:val="nil"/>
                    <w:bottom w:val="single" w:color="000000" w:sz="4" w:space="0"/>
                    <w:right w:val="single" w:color="000000" w:sz="4" w:space="0"/>
                  </w:tcBorders>
                  <w:shd w:val="clear" w:color="auto" w:fill="auto"/>
                  <w:vAlign w:val="center"/>
                </w:tcPr>
                <w:p w14:paraId="0FD89F47">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1.0</w:t>
                  </w:r>
                </w:p>
              </w:tc>
              <w:tc>
                <w:tcPr>
                  <w:tcW w:w="902" w:type="dxa"/>
                  <w:tcBorders>
                    <w:top w:val="single" w:color="000000" w:sz="4" w:space="0"/>
                    <w:left w:val="nil"/>
                    <w:bottom w:val="single" w:color="000000" w:sz="4" w:space="0"/>
                    <w:right w:val="single" w:color="000000" w:sz="4" w:space="0"/>
                  </w:tcBorders>
                  <w:shd w:val="clear" w:color="auto" w:fill="auto"/>
                  <w:vAlign w:val="center"/>
                </w:tcPr>
                <w:p w14:paraId="0933468B">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1.1</w:t>
                  </w:r>
                </w:p>
              </w:tc>
              <w:tc>
                <w:tcPr>
                  <w:tcW w:w="940" w:type="dxa"/>
                  <w:tcBorders>
                    <w:top w:val="single" w:color="000000" w:sz="4" w:space="0"/>
                    <w:left w:val="nil"/>
                    <w:bottom w:val="single" w:color="000000" w:sz="4" w:space="0"/>
                    <w:right w:val="single" w:color="000000" w:sz="4" w:space="0"/>
                  </w:tcBorders>
                  <w:shd w:val="clear" w:color="auto" w:fill="auto"/>
                  <w:vAlign w:val="center"/>
                </w:tcPr>
                <w:p w14:paraId="2C1F5CE2">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1.2</w:t>
                  </w:r>
                </w:p>
              </w:tc>
              <w:tc>
                <w:tcPr>
                  <w:tcW w:w="922" w:type="dxa"/>
                  <w:tcBorders>
                    <w:top w:val="single" w:color="000000" w:sz="4" w:space="0"/>
                    <w:left w:val="nil"/>
                    <w:bottom w:val="single" w:color="000000" w:sz="4" w:space="0"/>
                    <w:right w:val="single" w:color="000000" w:sz="4" w:space="0"/>
                  </w:tcBorders>
                  <w:shd w:val="clear" w:color="auto" w:fill="auto"/>
                  <w:vAlign w:val="center"/>
                </w:tcPr>
                <w:p w14:paraId="715AE067">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1.3</w:t>
                  </w:r>
                </w:p>
              </w:tc>
              <w:tc>
                <w:tcPr>
                  <w:tcW w:w="959" w:type="dxa"/>
                  <w:tcBorders>
                    <w:top w:val="single" w:color="000000" w:sz="4" w:space="0"/>
                    <w:left w:val="nil"/>
                    <w:bottom w:val="single" w:color="000000" w:sz="4" w:space="0"/>
                    <w:right w:val="single" w:color="000000" w:sz="4" w:space="0"/>
                  </w:tcBorders>
                  <w:shd w:val="clear" w:color="auto" w:fill="auto"/>
                  <w:vAlign w:val="center"/>
                </w:tcPr>
                <w:p w14:paraId="2BFF293D">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1.4</w:t>
                  </w:r>
                </w:p>
              </w:tc>
              <w:tc>
                <w:tcPr>
                  <w:tcW w:w="901" w:type="dxa"/>
                  <w:tcBorders>
                    <w:top w:val="single" w:color="000000" w:sz="4" w:space="0"/>
                    <w:left w:val="nil"/>
                    <w:bottom w:val="single" w:color="000000" w:sz="4" w:space="0"/>
                    <w:right w:val="single" w:color="000000" w:sz="4" w:space="0"/>
                  </w:tcBorders>
                  <w:shd w:val="clear" w:color="auto" w:fill="auto"/>
                  <w:vAlign w:val="center"/>
                </w:tcPr>
                <w:p w14:paraId="6B9E0432">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1.5</w:t>
                  </w:r>
                </w:p>
              </w:tc>
              <w:tc>
                <w:tcPr>
                  <w:tcW w:w="890" w:type="dxa"/>
                  <w:tcBorders>
                    <w:top w:val="single" w:color="000000" w:sz="4" w:space="0"/>
                    <w:left w:val="nil"/>
                    <w:bottom w:val="single" w:color="000000" w:sz="4" w:space="0"/>
                    <w:right w:val="single" w:color="000000" w:sz="4" w:space="0"/>
                  </w:tcBorders>
                  <w:shd w:val="clear" w:color="auto" w:fill="auto"/>
                  <w:vAlign w:val="center"/>
                </w:tcPr>
                <w:p w14:paraId="0B5B3405">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1.6</w:t>
                  </w:r>
                </w:p>
              </w:tc>
            </w:tr>
            <w:tr w14:paraId="46714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725"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22F9A5F0">
                  <w:pPr>
                    <w:keepNext w:val="0"/>
                    <w:keepLines w:val="0"/>
                    <w:widowControl w:val="0"/>
                    <w:suppressLineNumbers w:val="0"/>
                    <w:autoSpaceDE w:val="0"/>
                    <w:autoSpaceDN/>
                    <w:adjustRightInd w:val="0"/>
                    <w:spacing w:before="0" w:beforeAutospacing="0" w:after="0" w:afterAutospacing="0" w:line="400" w:lineRule="exact"/>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snapToGrid w:val="0"/>
                      <w:color w:val="auto"/>
                      <w:kern w:val="0"/>
                      <w:sz w:val="24"/>
                      <w:szCs w:val="24"/>
                      <w:highlight w:val="none"/>
                      <w:vertAlign w:val="baseline"/>
                      <w:lang w:val="en-US" w:eastAsia="zh-CN" w:bidi="ar"/>
                    </w:rPr>
                    <w:t>号球</w:t>
                  </w:r>
                </w:p>
              </w:tc>
              <w:tc>
                <w:tcPr>
                  <w:tcW w:w="735" w:type="dxa"/>
                  <w:tcBorders>
                    <w:top w:val="single" w:color="000000" w:sz="4" w:space="0"/>
                    <w:left w:val="nil"/>
                    <w:bottom w:val="single" w:color="000000" w:sz="4" w:space="0"/>
                    <w:right w:val="single" w:color="000000" w:sz="4" w:space="0"/>
                  </w:tcBorders>
                  <w:shd w:val="clear" w:color="auto" w:fill="D7D7D7"/>
                  <w:vAlign w:val="center"/>
                </w:tcPr>
                <w:p w14:paraId="0A6E0A2D">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8</w:t>
                  </w:r>
                </w:p>
              </w:tc>
              <w:tc>
                <w:tcPr>
                  <w:tcW w:w="902" w:type="dxa"/>
                  <w:tcBorders>
                    <w:top w:val="single" w:color="000000" w:sz="4" w:space="0"/>
                    <w:left w:val="nil"/>
                    <w:bottom w:val="single" w:color="000000" w:sz="4" w:space="0"/>
                    <w:right w:val="single" w:color="000000" w:sz="4" w:space="0"/>
                  </w:tcBorders>
                  <w:shd w:val="clear" w:color="auto" w:fill="D7D7D7"/>
                  <w:vAlign w:val="center"/>
                </w:tcPr>
                <w:p w14:paraId="13F68094">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9</w:t>
                  </w:r>
                </w:p>
              </w:tc>
              <w:tc>
                <w:tcPr>
                  <w:tcW w:w="940" w:type="dxa"/>
                  <w:tcBorders>
                    <w:top w:val="single" w:color="000000" w:sz="4" w:space="0"/>
                    <w:left w:val="nil"/>
                    <w:bottom w:val="single" w:color="000000" w:sz="4" w:space="0"/>
                    <w:right w:val="single" w:color="000000" w:sz="4" w:space="0"/>
                  </w:tcBorders>
                  <w:shd w:val="clear" w:color="auto" w:fill="D7D7D7"/>
                  <w:vAlign w:val="center"/>
                </w:tcPr>
                <w:p w14:paraId="4630D010">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10</w:t>
                  </w:r>
                </w:p>
              </w:tc>
              <w:tc>
                <w:tcPr>
                  <w:tcW w:w="922" w:type="dxa"/>
                  <w:tcBorders>
                    <w:top w:val="single" w:color="000000" w:sz="4" w:space="0"/>
                    <w:left w:val="nil"/>
                    <w:bottom w:val="single" w:color="000000" w:sz="4" w:space="0"/>
                    <w:right w:val="single" w:color="000000" w:sz="4" w:space="0"/>
                  </w:tcBorders>
                  <w:shd w:val="clear" w:color="auto" w:fill="D7D7D7"/>
                  <w:vAlign w:val="center"/>
                </w:tcPr>
                <w:p w14:paraId="0ADFC677">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11</w:t>
                  </w:r>
                </w:p>
              </w:tc>
              <w:tc>
                <w:tcPr>
                  <w:tcW w:w="959" w:type="dxa"/>
                  <w:tcBorders>
                    <w:top w:val="single" w:color="000000" w:sz="4" w:space="0"/>
                    <w:left w:val="nil"/>
                    <w:bottom w:val="single" w:color="000000" w:sz="4" w:space="0"/>
                    <w:right w:val="single" w:color="000000" w:sz="4" w:space="0"/>
                  </w:tcBorders>
                  <w:shd w:val="clear" w:color="auto" w:fill="D7D7D7"/>
                  <w:vAlign w:val="center"/>
                </w:tcPr>
                <w:p w14:paraId="5F55E3CC">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12</w:t>
                  </w:r>
                </w:p>
              </w:tc>
              <w:tc>
                <w:tcPr>
                  <w:tcW w:w="901" w:type="dxa"/>
                  <w:tcBorders>
                    <w:top w:val="single" w:color="000000" w:sz="4" w:space="0"/>
                    <w:left w:val="nil"/>
                    <w:bottom w:val="single" w:color="000000" w:sz="4" w:space="0"/>
                    <w:right w:val="single" w:color="000000" w:sz="4" w:space="0"/>
                  </w:tcBorders>
                  <w:shd w:val="clear" w:color="auto" w:fill="D7D7D7"/>
                  <w:vAlign w:val="center"/>
                </w:tcPr>
                <w:p w14:paraId="0EFE491C">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13</w:t>
                  </w:r>
                </w:p>
              </w:tc>
              <w:tc>
                <w:tcPr>
                  <w:tcW w:w="890" w:type="dxa"/>
                  <w:tcBorders>
                    <w:top w:val="single" w:color="000000" w:sz="4" w:space="0"/>
                    <w:left w:val="nil"/>
                    <w:bottom w:val="single" w:color="000000" w:sz="4" w:space="0"/>
                    <w:right w:val="single" w:color="000000" w:sz="4" w:space="0"/>
                  </w:tcBorders>
                  <w:shd w:val="clear" w:color="auto" w:fill="D7D7D7"/>
                  <w:vAlign w:val="center"/>
                </w:tcPr>
                <w:p w14:paraId="3944F284">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14</w:t>
                  </w:r>
                </w:p>
              </w:tc>
            </w:tr>
            <w:tr w14:paraId="70C5F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A6DE1">
                  <w:pPr>
                    <w:keepNext w:val="0"/>
                    <w:keepLines w:val="0"/>
                    <w:widowControl w:val="0"/>
                    <w:suppressLineNumbers w:val="0"/>
                    <w:autoSpaceDE w:val="0"/>
                    <w:autoSpaceDN/>
                    <w:adjustRightInd w:val="0"/>
                    <w:spacing w:before="0" w:beforeAutospacing="0" w:after="0" w:afterAutospacing="0" w:line="400" w:lineRule="exact"/>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snapToGrid w:val="0"/>
                      <w:color w:val="auto"/>
                      <w:kern w:val="0"/>
                      <w:sz w:val="24"/>
                      <w:szCs w:val="24"/>
                      <w:highlight w:val="none"/>
                      <w:vertAlign w:val="baseline"/>
                      <w:lang w:val="en-US" w:eastAsia="zh-CN" w:bidi="ar"/>
                    </w:rPr>
                    <w:t>下浮系数（%）</w:t>
                  </w:r>
                </w:p>
              </w:tc>
              <w:tc>
                <w:tcPr>
                  <w:tcW w:w="735" w:type="dxa"/>
                  <w:tcBorders>
                    <w:top w:val="single" w:color="000000" w:sz="4" w:space="0"/>
                    <w:left w:val="nil"/>
                    <w:bottom w:val="single" w:color="000000" w:sz="4" w:space="0"/>
                    <w:right w:val="single" w:color="000000" w:sz="4" w:space="0"/>
                  </w:tcBorders>
                  <w:shd w:val="clear" w:color="auto" w:fill="auto"/>
                  <w:vAlign w:val="center"/>
                </w:tcPr>
                <w:p w14:paraId="02DB60FB">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1.7</w:t>
                  </w:r>
                </w:p>
              </w:tc>
              <w:tc>
                <w:tcPr>
                  <w:tcW w:w="902" w:type="dxa"/>
                  <w:tcBorders>
                    <w:top w:val="single" w:color="000000" w:sz="4" w:space="0"/>
                    <w:left w:val="nil"/>
                    <w:bottom w:val="single" w:color="000000" w:sz="4" w:space="0"/>
                    <w:right w:val="single" w:color="000000" w:sz="4" w:space="0"/>
                  </w:tcBorders>
                  <w:shd w:val="clear" w:color="auto" w:fill="auto"/>
                  <w:vAlign w:val="center"/>
                </w:tcPr>
                <w:p w14:paraId="52C46587">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1.8</w:t>
                  </w:r>
                </w:p>
              </w:tc>
              <w:tc>
                <w:tcPr>
                  <w:tcW w:w="940" w:type="dxa"/>
                  <w:tcBorders>
                    <w:top w:val="single" w:color="000000" w:sz="4" w:space="0"/>
                    <w:left w:val="nil"/>
                    <w:bottom w:val="single" w:color="000000" w:sz="4" w:space="0"/>
                    <w:right w:val="single" w:color="000000" w:sz="4" w:space="0"/>
                  </w:tcBorders>
                  <w:shd w:val="clear" w:color="auto" w:fill="auto"/>
                  <w:vAlign w:val="center"/>
                </w:tcPr>
                <w:p w14:paraId="3245D492">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1.9</w:t>
                  </w:r>
                </w:p>
              </w:tc>
              <w:tc>
                <w:tcPr>
                  <w:tcW w:w="922" w:type="dxa"/>
                  <w:tcBorders>
                    <w:top w:val="single" w:color="000000" w:sz="4" w:space="0"/>
                    <w:left w:val="nil"/>
                    <w:bottom w:val="single" w:color="000000" w:sz="4" w:space="0"/>
                    <w:right w:val="single" w:color="000000" w:sz="4" w:space="0"/>
                  </w:tcBorders>
                  <w:shd w:val="clear" w:color="auto" w:fill="auto"/>
                  <w:vAlign w:val="center"/>
                </w:tcPr>
                <w:p w14:paraId="264870E7">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2.0</w:t>
                  </w:r>
                </w:p>
              </w:tc>
              <w:tc>
                <w:tcPr>
                  <w:tcW w:w="959" w:type="dxa"/>
                  <w:tcBorders>
                    <w:top w:val="single" w:color="000000" w:sz="4" w:space="0"/>
                    <w:left w:val="nil"/>
                    <w:bottom w:val="single" w:color="000000" w:sz="4" w:space="0"/>
                    <w:right w:val="single" w:color="000000" w:sz="4" w:space="0"/>
                  </w:tcBorders>
                  <w:shd w:val="clear" w:color="auto" w:fill="auto"/>
                  <w:vAlign w:val="center"/>
                </w:tcPr>
                <w:p w14:paraId="1DB1CC83">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2.1</w:t>
                  </w:r>
                </w:p>
              </w:tc>
              <w:tc>
                <w:tcPr>
                  <w:tcW w:w="901" w:type="dxa"/>
                  <w:tcBorders>
                    <w:top w:val="single" w:color="000000" w:sz="4" w:space="0"/>
                    <w:left w:val="nil"/>
                    <w:bottom w:val="single" w:color="000000" w:sz="4" w:space="0"/>
                    <w:right w:val="single" w:color="000000" w:sz="4" w:space="0"/>
                  </w:tcBorders>
                  <w:shd w:val="clear" w:color="auto" w:fill="auto"/>
                  <w:vAlign w:val="center"/>
                </w:tcPr>
                <w:p w14:paraId="2074B4AF">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2.2</w:t>
                  </w:r>
                </w:p>
              </w:tc>
              <w:tc>
                <w:tcPr>
                  <w:tcW w:w="890" w:type="dxa"/>
                  <w:tcBorders>
                    <w:top w:val="single" w:color="000000" w:sz="4" w:space="0"/>
                    <w:left w:val="nil"/>
                    <w:bottom w:val="single" w:color="000000" w:sz="4" w:space="0"/>
                    <w:right w:val="single" w:color="000000" w:sz="4" w:space="0"/>
                  </w:tcBorders>
                  <w:shd w:val="clear" w:color="auto" w:fill="auto"/>
                  <w:vAlign w:val="center"/>
                </w:tcPr>
                <w:p w14:paraId="3DA6A241">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2.3</w:t>
                  </w:r>
                </w:p>
              </w:tc>
            </w:tr>
            <w:tr w14:paraId="4FCA5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725"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1F02069F">
                  <w:pPr>
                    <w:keepNext w:val="0"/>
                    <w:keepLines w:val="0"/>
                    <w:widowControl w:val="0"/>
                    <w:suppressLineNumbers w:val="0"/>
                    <w:autoSpaceDE w:val="0"/>
                    <w:autoSpaceDN/>
                    <w:adjustRightInd w:val="0"/>
                    <w:spacing w:before="0" w:beforeAutospacing="0" w:after="0" w:afterAutospacing="0" w:line="400" w:lineRule="exact"/>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snapToGrid w:val="0"/>
                      <w:color w:val="auto"/>
                      <w:kern w:val="0"/>
                      <w:sz w:val="24"/>
                      <w:szCs w:val="24"/>
                      <w:highlight w:val="none"/>
                      <w:vertAlign w:val="baseline"/>
                      <w:lang w:val="en-US" w:eastAsia="zh-CN" w:bidi="ar"/>
                    </w:rPr>
                    <w:t>号球</w:t>
                  </w:r>
                </w:p>
              </w:tc>
              <w:tc>
                <w:tcPr>
                  <w:tcW w:w="735" w:type="dxa"/>
                  <w:tcBorders>
                    <w:top w:val="single" w:color="000000" w:sz="4" w:space="0"/>
                    <w:left w:val="nil"/>
                    <w:bottom w:val="single" w:color="000000" w:sz="4" w:space="0"/>
                    <w:right w:val="single" w:color="000000" w:sz="4" w:space="0"/>
                  </w:tcBorders>
                  <w:shd w:val="clear" w:color="auto" w:fill="D7D7D7"/>
                  <w:vAlign w:val="center"/>
                </w:tcPr>
                <w:p w14:paraId="483F89E4">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15</w:t>
                  </w:r>
                </w:p>
              </w:tc>
              <w:tc>
                <w:tcPr>
                  <w:tcW w:w="902" w:type="dxa"/>
                  <w:tcBorders>
                    <w:top w:val="single" w:color="000000" w:sz="4" w:space="0"/>
                    <w:left w:val="nil"/>
                    <w:bottom w:val="single" w:color="000000" w:sz="4" w:space="0"/>
                    <w:right w:val="single" w:color="000000" w:sz="4" w:space="0"/>
                  </w:tcBorders>
                  <w:shd w:val="clear" w:color="auto" w:fill="D7D7D7"/>
                  <w:vAlign w:val="center"/>
                </w:tcPr>
                <w:p w14:paraId="38F1AD54">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16</w:t>
                  </w:r>
                </w:p>
              </w:tc>
              <w:tc>
                <w:tcPr>
                  <w:tcW w:w="940" w:type="dxa"/>
                  <w:tcBorders>
                    <w:top w:val="single" w:color="000000" w:sz="4" w:space="0"/>
                    <w:left w:val="nil"/>
                    <w:bottom w:val="single" w:color="000000" w:sz="4" w:space="0"/>
                    <w:right w:val="single" w:color="000000" w:sz="4" w:space="0"/>
                  </w:tcBorders>
                  <w:shd w:val="clear" w:color="auto" w:fill="D7D7D7"/>
                  <w:vAlign w:val="center"/>
                </w:tcPr>
                <w:p w14:paraId="3A974BFB">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17</w:t>
                  </w:r>
                </w:p>
              </w:tc>
              <w:tc>
                <w:tcPr>
                  <w:tcW w:w="922" w:type="dxa"/>
                  <w:tcBorders>
                    <w:top w:val="single" w:color="000000" w:sz="4" w:space="0"/>
                    <w:left w:val="nil"/>
                    <w:bottom w:val="single" w:color="000000" w:sz="4" w:space="0"/>
                    <w:right w:val="single" w:color="000000" w:sz="4" w:space="0"/>
                  </w:tcBorders>
                  <w:shd w:val="clear" w:color="auto" w:fill="D7D7D7"/>
                  <w:vAlign w:val="center"/>
                </w:tcPr>
                <w:p w14:paraId="7E8C49E0">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18</w:t>
                  </w:r>
                </w:p>
              </w:tc>
              <w:tc>
                <w:tcPr>
                  <w:tcW w:w="959" w:type="dxa"/>
                  <w:tcBorders>
                    <w:top w:val="single" w:color="000000" w:sz="4" w:space="0"/>
                    <w:left w:val="nil"/>
                    <w:bottom w:val="single" w:color="000000" w:sz="4" w:space="0"/>
                    <w:right w:val="single" w:color="000000" w:sz="4" w:space="0"/>
                  </w:tcBorders>
                  <w:shd w:val="clear" w:color="auto" w:fill="D7D7D7"/>
                  <w:vAlign w:val="center"/>
                </w:tcPr>
                <w:p w14:paraId="3ACAFFAA">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19</w:t>
                  </w:r>
                </w:p>
              </w:tc>
              <w:tc>
                <w:tcPr>
                  <w:tcW w:w="901" w:type="dxa"/>
                  <w:tcBorders>
                    <w:top w:val="single" w:color="000000" w:sz="4" w:space="0"/>
                    <w:left w:val="nil"/>
                    <w:bottom w:val="single" w:color="000000" w:sz="4" w:space="0"/>
                    <w:right w:val="single" w:color="000000" w:sz="4" w:space="0"/>
                  </w:tcBorders>
                  <w:shd w:val="clear" w:color="auto" w:fill="D7D7D7"/>
                  <w:vAlign w:val="center"/>
                </w:tcPr>
                <w:p w14:paraId="07C0BE3B">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20</w:t>
                  </w:r>
                </w:p>
              </w:tc>
              <w:tc>
                <w:tcPr>
                  <w:tcW w:w="890" w:type="dxa"/>
                  <w:tcBorders>
                    <w:top w:val="single" w:color="000000" w:sz="4" w:space="0"/>
                    <w:left w:val="nil"/>
                    <w:bottom w:val="single" w:color="000000" w:sz="4" w:space="0"/>
                    <w:right w:val="single" w:color="000000" w:sz="4" w:space="0"/>
                  </w:tcBorders>
                  <w:shd w:val="clear" w:color="auto" w:fill="D7D7D7"/>
                  <w:vAlign w:val="center"/>
                </w:tcPr>
                <w:p w14:paraId="52523835">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snapToGrid w:val="0"/>
                      <w:color w:val="auto"/>
                      <w:kern w:val="0"/>
                      <w:sz w:val="24"/>
                      <w:szCs w:val="24"/>
                      <w:highlight w:val="none"/>
                      <w:lang w:val="en-US" w:eastAsia="zh-CN" w:bidi="ar"/>
                    </w:rPr>
                    <w:t>21</w:t>
                  </w:r>
                </w:p>
              </w:tc>
            </w:tr>
            <w:tr w14:paraId="0FCAB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EBA1">
                  <w:pPr>
                    <w:keepNext w:val="0"/>
                    <w:keepLines w:val="0"/>
                    <w:widowControl w:val="0"/>
                    <w:suppressLineNumbers w:val="0"/>
                    <w:autoSpaceDE w:val="0"/>
                    <w:autoSpaceDN/>
                    <w:adjustRightInd w:val="0"/>
                    <w:spacing w:before="0" w:beforeAutospacing="0" w:after="0" w:afterAutospacing="0" w:line="400" w:lineRule="exact"/>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snapToGrid w:val="0"/>
                      <w:color w:val="auto"/>
                      <w:kern w:val="0"/>
                      <w:sz w:val="24"/>
                      <w:szCs w:val="24"/>
                      <w:highlight w:val="none"/>
                      <w:vertAlign w:val="baseline"/>
                      <w:lang w:val="en-US" w:eastAsia="zh-CN" w:bidi="ar"/>
                    </w:rPr>
                    <w:t>下浮系数（%）</w:t>
                  </w:r>
                </w:p>
              </w:tc>
              <w:tc>
                <w:tcPr>
                  <w:tcW w:w="735" w:type="dxa"/>
                  <w:tcBorders>
                    <w:top w:val="single" w:color="000000" w:sz="4" w:space="0"/>
                    <w:left w:val="nil"/>
                    <w:bottom w:val="single" w:color="000000" w:sz="4" w:space="0"/>
                    <w:right w:val="single" w:color="000000" w:sz="4" w:space="0"/>
                  </w:tcBorders>
                  <w:shd w:val="clear" w:color="auto" w:fill="auto"/>
                  <w:vAlign w:val="center"/>
                </w:tcPr>
                <w:p w14:paraId="51A93D1C">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2.4</w:t>
                  </w:r>
                </w:p>
              </w:tc>
              <w:tc>
                <w:tcPr>
                  <w:tcW w:w="902" w:type="dxa"/>
                  <w:tcBorders>
                    <w:top w:val="single" w:color="000000" w:sz="4" w:space="0"/>
                    <w:left w:val="nil"/>
                    <w:bottom w:val="single" w:color="000000" w:sz="4" w:space="0"/>
                    <w:right w:val="single" w:color="000000" w:sz="4" w:space="0"/>
                  </w:tcBorders>
                  <w:shd w:val="clear" w:color="auto" w:fill="auto"/>
                  <w:vAlign w:val="center"/>
                </w:tcPr>
                <w:p w14:paraId="6BED174C">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2.5</w:t>
                  </w:r>
                </w:p>
              </w:tc>
              <w:tc>
                <w:tcPr>
                  <w:tcW w:w="940" w:type="dxa"/>
                  <w:tcBorders>
                    <w:top w:val="single" w:color="000000" w:sz="4" w:space="0"/>
                    <w:left w:val="nil"/>
                    <w:bottom w:val="single" w:color="000000" w:sz="4" w:space="0"/>
                    <w:right w:val="single" w:color="000000" w:sz="4" w:space="0"/>
                  </w:tcBorders>
                  <w:shd w:val="clear" w:color="auto" w:fill="auto"/>
                  <w:vAlign w:val="center"/>
                </w:tcPr>
                <w:p w14:paraId="151DCFEF">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2.6</w:t>
                  </w:r>
                </w:p>
              </w:tc>
              <w:tc>
                <w:tcPr>
                  <w:tcW w:w="922" w:type="dxa"/>
                  <w:tcBorders>
                    <w:top w:val="single" w:color="000000" w:sz="4" w:space="0"/>
                    <w:left w:val="nil"/>
                    <w:bottom w:val="single" w:color="000000" w:sz="4" w:space="0"/>
                    <w:right w:val="single" w:color="000000" w:sz="4" w:space="0"/>
                  </w:tcBorders>
                  <w:shd w:val="clear" w:color="auto" w:fill="auto"/>
                  <w:vAlign w:val="center"/>
                </w:tcPr>
                <w:p w14:paraId="4DC1F8C0">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2.7</w:t>
                  </w:r>
                </w:p>
              </w:tc>
              <w:tc>
                <w:tcPr>
                  <w:tcW w:w="959" w:type="dxa"/>
                  <w:tcBorders>
                    <w:top w:val="single" w:color="000000" w:sz="4" w:space="0"/>
                    <w:left w:val="nil"/>
                    <w:bottom w:val="single" w:color="000000" w:sz="4" w:space="0"/>
                    <w:right w:val="single" w:color="000000" w:sz="4" w:space="0"/>
                  </w:tcBorders>
                  <w:shd w:val="clear" w:color="auto" w:fill="auto"/>
                  <w:vAlign w:val="center"/>
                </w:tcPr>
                <w:p w14:paraId="05A2161C">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2.8</w:t>
                  </w:r>
                </w:p>
              </w:tc>
              <w:tc>
                <w:tcPr>
                  <w:tcW w:w="901" w:type="dxa"/>
                  <w:tcBorders>
                    <w:top w:val="single" w:color="000000" w:sz="4" w:space="0"/>
                    <w:left w:val="nil"/>
                    <w:bottom w:val="single" w:color="000000" w:sz="4" w:space="0"/>
                    <w:right w:val="single" w:color="000000" w:sz="4" w:space="0"/>
                  </w:tcBorders>
                  <w:shd w:val="clear" w:color="auto" w:fill="auto"/>
                  <w:vAlign w:val="center"/>
                </w:tcPr>
                <w:p w14:paraId="179BD799">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2.9</w:t>
                  </w:r>
                </w:p>
              </w:tc>
              <w:tc>
                <w:tcPr>
                  <w:tcW w:w="890" w:type="dxa"/>
                  <w:tcBorders>
                    <w:top w:val="single" w:color="000000" w:sz="4" w:space="0"/>
                    <w:left w:val="nil"/>
                    <w:bottom w:val="single" w:color="000000" w:sz="4" w:space="0"/>
                    <w:right w:val="single" w:color="000000" w:sz="4" w:space="0"/>
                  </w:tcBorders>
                  <w:shd w:val="clear" w:color="auto" w:fill="auto"/>
                  <w:vAlign w:val="center"/>
                </w:tcPr>
                <w:p w14:paraId="007C70B8">
                  <w:pPr>
                    <w:keepNext w:val="0"/>
                    <w:keepLines w:val="0"/>
                    <w:widowControl w:val="0"/>
                    <w:suppressLineNumbers w:val="0"/>
                    <w:wordWrap w:val="0"/>
                    <w:autoSpaceDE w:val="0"/>
                    <w:autoSpaceDN/>
                    <w:adjustRightInd w:val="0"/>
                    <w:snapToGrid w:val="0"/>
                    <w:spacing w:before="0" w:beforeAutospacing="0" w:after="0" w:afterAutospacing="0" w:line="40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bidi="ar"/>
                    </w:rPr>
                    <w:t>3.0</w:t>
                  </w:r>
                </w:p>
              </w:tc>
            </w:tr>
          </w:tbl>
          <w:p w14:paraId="0D4FD3A0">
            <w:pPr>
              <w:keepNext w:val="0"/>
              <w:keepLines w:val="0"/>
              <w:widowControl w:val="0"/>
              <w:suppressLineNumbers w:val="0"/>
              <w:autoSpaceDE w:val="0"/>
              <w:autoSpaceDN/>
              <w:adjustRightInd w:val="0"/>
              <w:spacing w:before="0" w:beforeAutospacing="0" w:after="0" w:afterAutospacing="0" w:line="400" w:lineRule="exact"/>
              <w:ind w:left="0" w:right="0" w:firstLine="0" w:firstLineChars="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snapToGrid w:val="0"/>
                <w:color w:val="auto"/>
                <w:kern w:val="0"/>
                <w:sz w:val="24"/>
                <w:szCs w:val="24"/>
                <w:highlight w:val="none"/>
                <w:vertAlign w:val="baseline"/>
                <w:lang w:val="en-US" w:eastAsia="zh-CN" w:bidi="ar"/>
              </w:rPr>
              <w:t>（2）评标基准价D＝</w:t>
            </w:r>
            <w:r>
              <w:rPr>
                <w:rFonts w:hint="eastAsia" w:ascii="宋体" w:hAnsi="宋体" w:eastAsia="宋体" w:cs="宋体"/>
                <w:b/>
                <w:bCs/>
                <w:snapToGrid w:val="0"/>
                <w:color w:val="auto"/>
                <w:kern w:val="0"/>
                <w:sz w:val="24"/>
                <w:szCs w:val="24"/>
                <w:highlight w:val="none"/>
                <w:vertAlign w:val="baseline"/>
                <w:lang w:val="en-US" w:eastAsia="zh-CN" w:bidi="ar"/>
              </w:rPr>
              <w:t>最高投标限价</w:t>
            </w:r>
            <w:r>
              <w:rPr>
                <w:rFonts w:hint="eastAsia" w:ascii="宋体" w:hAnsi="宋体" w:eastAsia="宋体" w:cs="宋体"/>
                <w:snapToGrid w:val="0"/>
                <w:color w:val="auto"/>
                <w:kern w:val="0"/>
                <w:sz w:val="24"/>
                <w:szCs w:val="24"/>
                <w:highlight w:val="none"/>
                <w:vertAlign w:val="baseline"/>
                <w:lang w:val="en-US" w:eastAsia="zh-CN" w:bidi="ar"/>
              </w:rPr>
              <w:t>×（1－n）</w:t>
            </w:r>
          </w:p>
        </w:tc>
      </w:tr>
      <w:tr w14:paraId="58B2C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14:paraId="45292403">
            <w:pPr>
              <w:keepNext w:val="0"/>
              <w:keepLines w:val="0"/>
              <w:widowControl w:val="0"/>
              <w:suppressLineNumbers w:val="0"/>
              <w:autoSpaceDE w:val="0"/>
              <w:autoSpaceDN/>
              <w:adjustRightInd w:val="0"/>
              <w:spacing w:before="0" w:beforeAutospacing="0" w:after="0" w:afterAutospacing="0" w:line="400" w:lineRule="exact"/>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snapToGrid w:val="0"/>
                <w:color w:val="auto"/>
                <w:kern w:val="0"/>
                <w:sz w:val="24"/>
                <w:szCs w:val="24"/>
                <w:highlight w:val="none"/>
                <w:vertAlign w:val="baseline"/>
                <w:lang w:val="en-US" w:eastAsia="zh-CN" w:bidi="ar"/>
              </w:rPr>
              <w:t>投标报价</w:t>
            </w:r>
          </w:p>
          <w:p w14:paraId="28FCAD78">
            <w:pPr>
              <w:keepNext w:val="0"/>
              <w:keepLines w:val="0"/>
              <w:widowControl w:val="0"/>
              <w:suppressLineNumbers w:val="0"/>
              <w:autoSpaceDE w:val="0"/>
              <w:autoSpaceDN/>
              <w:adjustRightInd w:val="0"/>
              <w:spacing w:before="0" w:beforeAutospacing="0" w:after="0" w:afterAutospacing="0" w:line="400" w:lineRule="exact"/>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snapToGrid w:val="0"/>
                <w:color w:val="auto"/>
                <w:kern w:val="0"/>
                <w:sz w:val="24"/>
                <w:szCs w:val="24"/>
                <w:highlight w:val="none"/>
                <w:vertAlign w:val="baseline"/>
                <w:lang w:val="en-US" w:eastAsia="zh-CN" w:bidi="ar"/>
              </w:rPr>
              <w:t>得分N</w:t>
            </w:r>
          </w:p>
        </w:tc>
        <w:tc>
          <w:tcPr>
            <w:tcW w:w="8242" w:type="dxa"/>
            <w:gridSpan w:val="2"/>
            <w:tcBorders>
              <w:top w:val="single" w:color="auto" w:sz="4" w:space="0"/>
              <w:left w:val="nil"/>
              <w:bottom w:val="single" w:color="auto" w:sz="4" w:space="0"/>
              <w:right w:val="single" w:color="auto" w:sz="4" w:space="0"/>
            </w:tcBorders>
            <w:shd w:val="clear" w:color="auto" w:fill="auto"/>
            <w:vAlign w:val="center"/>
          </w:tcPr>
          <w:p w14:paraId="7ECF2E43">
            <w:pPr>
              <w:keepNext w:val="0"/>
              <w:keepLines w:val="0"/>
              <w:widowControl w:val="0"/>
              <w:suppressLineNumbers w:val="0"/>
              <w:autoSpaceDE w:val="0"/>
              <w:autoSpaceDN/>
              <w:adjustRightInd w:val="0"/>
              <w:spacing w:before="0" w:beforeAutospacing="0" w:after="0" w:afterAutospacing="0" w:line="400" w:lineRule="exact"/>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snapToGrid w:val="0"/>
                <w:color w:val="auto"/>
                <w:kern w:val="0"/>
                <w:sz w:val="24"/>
                <w:szCs w:val="24"/>
                <w:highlight w:val="none"/>
                <w:vertAlign w:val="baseline"/>
                <w:lang w:val="en-US" w:eastAsia="zh-CN" w:bidi="ar"/>
              </w:rPr>
              <w:t>采用内插法计算某投标人的投标报价得分N，即当投标人的投标总价等于评标基准价时得100分，每高于评标基准价一个百分点扣1分, 每低于评标基准价一个百分点扣0.5分，扣完为止。公式如下：</w:t>
            </w:r>
          </w:p>
          <w:p w14:paraId="60BF54FC">
            <w:pPr>
              <w:keepNext w:val="0"/>
              <w:keepLines w:val="0"/>
              <w:widowControl w:val="0"/>
              <w:suppressLineNumbers w:val="0"/>
              <w:autoSpaceDE w:val="0"/>
              <w:autoSpaceDN/>
              <w:adjustRightInd w:val="0"/>
              <w:spacing w:before="0" w:beforeAutospacing="0" w:after="0" w:afterAutospacing="0" w:line="400" w:lineRule="exact"/>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snapToGrid w:val="0"/>
                <w:color w:val="auto"/>
                <w:kern w:val="0"/>
                <w:sz w:val="24"/>
                <w:szCs w:val="24"/>
                <w:highlight w:val="none"/>
                <w:vertAlign w:val="baseline"/>
                <w:lang w:val="en-US" w:eastAsia="zh-CN" w:bidi="ar"/>
              </w:rPr>
              <w:t>N＝100－（| Di－D | ÷D）×100×E</w:t>
            </w:r>
          </w:p>
          <w:p w14:paraId="7FC28C7B">
            <w:pPr>
              <w:keepNext w:val="0"/>
              <w:keepLines w:val="0"/>
              <w:widowControl w:val="0"/>
              <w:suppressLineNumbers w:val="0"/>
              <w:autoSpaceDE w:val="0"/>
              <w:autoSpaceDN/>
              <w:adjustRightInd w:val="0"/>
              <w:spacing w:before="0" w:beforeAutospacing="0" w:after="0" w:afterAutospacing="0" w:line="400" w:lineRule="exact"/>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snapToGrid w:val="0"/>
                <w:color w:val="auto"/>
                <w:kern w:val="0"/>
                <w:sz w:val="24"/>
                <w:szCs w:val="24"/>
                <w:highlight w:val="none"/>
                <w:vertAlign w:val="baseline"/>
                <w:lang w:val="en-US" w:eastAsia="zh-CN" w:bidi="ar"/>
              </w:rPr>
              <w:t>式中：D为评标基准价；Di为某投标人的投标总价；E为扣分因子，当Di＞D时，E＝1 ；当Di＜D时，E＝0.5。</w:t>
            </w:r>
          </w:p>
        </w:tc>
      </w:tr>
    </w:tbl>
    <w:p w14:paraId="40C91019">
      <w:pPr>
        <w:keepNext w:val="0"/>
        <w:keepLines w:val="0"/>
        <w:pageBreakBefore w:val="0"/>
        <w:kinsoku/>
        <w:wordWrap w:val="0"/>
        <w:overflowPunct/>
        <w:topLinePunct/>
        <w:bidi w:val="0"/>
        <w:rPr>
          <w:rFonts w:hint="eastAsia" w:ascii="宋体" w:hAnsi="宋体" w:eastAsia="宋体" w:cs="宋体"/>
          <w:b/>
          <w:bCs/>
          <w:color w:val="auto"/>
          <w:spacing w:val="0"/>
          <w:sz w:val="24"/>
          <w:szCs w:val="24"/>
          <w:highlight w:val="none"/>
        </w:rPr>
      </w:pPr>
    </w:p>
    <w:p w14:paraId="26180A50">
      <w:pPr>
        <w:keepNext w:val="0"/>
        <w:keepLines w:val="0"/>
        <w:pageBreakBefore w:val="0"/>
        <w:kinsoku/>
        <w:wordWrap w:val="0"/>
        <w:overflowPunct/>
        <w:topLinePunct/>
        <w:bidi w:val="0"/>
        <w:snapToGrid w:val="0"/>
        <w:spacing w:line="360" w:lineRule="auto"/>
        <w:ind w:firstLine="0" w:firstLineChars="0"/>
        <w:outlineLvl w:val="9"/>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lang w:val="en-US" w:eastAsia="zh-CN"/>
        </w:rPr>
        <w:t>注：</w:t>
      </w:r>
      <w:r>
        <w:rPr>
          <w:rFonts w:hint="eastAsia" w:ascii="宋体" w:hAnsi="宋体" w:eastAsia="宋体" w:cs="宋体"/>
          <w:b/>
          <w:bCs/>
          <w:color w:val="auto"/>
          <w:spacing w:val="0"/>
          <w:sz w:val="24"/>
          <w:szCs w:val="24"/>
          <w:highlight w:val="none"/>
        </w:rPr>
        <w:t>技术部分（施工组织设计）评分：各投标人的技术文件的最终评分低于技术部分满分（20分）的65%或高于95%的，评委必须详细阐述具体理由（字数不少于50字）。</w:t>
      </w:r>
      <w:r>
        <w:rPr>
          <w:rFonts w:hint="eastAsia" w:ascii="宋体" w:hAnsi="宋体" w:eastAsia="宋体" w:cs="宋体"/>
          <w:b/>
          <w:bCs/>
          <w:color w:val="auto"/>
          <w:spacing w:val="0"/>
          <w:sz w:val="24"/>
          <w:szCs w:val="24"/>
          <w:highlight w:val="none"/>
        </w:rPr>
        <w:br w:type="textWrapping"/>
      </w:r>
      <w:r>
        <w:rPr>
          <w:rFonts w:hint="eastAsia" w:ascii="宋体" w:hAnsi="宋体" w:eastAsia="宋体" w:cs="宋体"/>
          <w:b/>
          <w:bCs/>
          <w:color w:val="auto"/>
          <w:spacing w:val="0"/>
          <w:sz w:val="24"/>
          <w:szCs w:val="24"/>
          <w:highlight w:val="none"/>
        </w:rPr>
        <w:t xml:space="preserve">15.5.2  </w:t>
      </w:r>
      <w:r>
        <w:rPr>
          <w:rFonts w:hint="eastAsia" w:ascii="宋体" w:hAnsi="宋体" w:eastAsia="宋体" w:cs="宋体"/>
          <w:color w:val="auto"/>
          <w:spacing w:val="0"/>
          <w:sz w:val="24"/>
          <w:szCs w:val="24"/>
          <w:highlight w:val="none"/>
        </w:rPr>
        <w:t>否决投标说明</w:t>
      </w:r>
      <w:bookmarkEnd w:id="121"/>
      <w:bookmarkEnd w:id="122"/>
      <w:bookmarkEnd w:id="123"/>
      <w:bookmarkEnd w:id="124"/>
    </w:p>
    <w:p w14:paraId="42C9969E">
      <w:pPr>
        <w:keepNext w:val="0"/>
        <w:keepLines w:val="0"/>
        <w:pageBreakBefore w:val="0"/>
        <w:kinsoku/>
        <w:wordWrap w:val="0"/>
        <w:overflowPunct/>
        <w:topLinePunct/>
        <w:bidi w:val="0"/>
        <w:snapToGrid w:val="0"/>
        <w:spacing w:line="360" w:lineRule="auto"/>
        <w:ind w:left="10" w:right="195" w:firstLine="5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37959CED">
      <w:pPr>
        <w:keepNext w:val="0"/>
        <w:keepLines w:val="0"/>
        <w:pageBreakBefore w:val="0"/>
        <w:kinsoku/>
        <w:wordWrap w:val="0"/>
        <w:overflowPunct/>
        <w:topLinePunct/>
        <w:bidi w:val="0"/>
        <w:snapToGrid w:val="0"/>
        <w:spacing w:line="360" w:lineRule="auto"/>
        <w:ind w:left="10" w:right="195"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温馨提示</w:t>
      </w:r>
      <w:r>
        <w:rPr>
          <w:rFonts w:hint="eastAsia" w:ascii="宋体" w:hAnsi="宋体" w:eastAsia="宋体" w:cs="宋体"/>
          <w:b/>
          <w:bCs/>
          <w:color w:val="auto"/>
          <w:spacing w:val="0"/>
          <w:sz w:val="24"/>
          <w:szCs w:val="24"/>
          <w:highlight w:val="none"/>
        </w:rPr>
        <w:t>：投标人在详细评审阶段根据评分方法提供的佐证材料，其合法性、有效性和准确性不符合要求的，有关量化因素（或评分因素）的折算、调整（或评分）按相应量化标准（或评分标准）处理，但不否决投标。</w:t>
      </w:r>
    </w:p>
    <w:p w14:paraId="54C1968D">
      <w:pPr>
        <w:keepNext w:val="0"/>
        <w:keepLines w:val="0"/>
        <w:pageBreakBefore w:val="0"/>
        <w:kinsoku/>
        <w:wordWrap w:val="0"/>
        <w:overflowPunct/>
        <w:topLinePunct/>
        <w:bidi w:val="0"/>
        <w:snapToGrid w:val="0"/>
        <w:spacing w:line="360" w:lineRule="auto"/>
        <w:ind w:left="496"/>
        <w:outlineLvl w:val="2"/>
        <w:rPr>
          <w:rFonts w:hint="eastAsia" w:ascii="宋体" w:hAnsi="宋体" w:eastAsia="宋体" w:cs="宋体"/>
          <w:b/>
          <w:bCs/>
          <w:color w:val="auto"/>
          <w:spacing w:val="0"/>
          <w:sz w:val="24"/>
          <w:szCs w:val="24"/>
          <w:highlight w:val="none"/>
        </w:rPr>
      </w:pPr>
      <w:bookmarkStart w:id="125" w:name="bookmark137"/>
      <w:bookmarkEnd w:id="125"/>
      <w:bookmarkStart w:id="126" w:name="bookmark138"/>
      <w:bookmarkEnd w:id="126"/>
      <w:bookmarkStart w:id="127" w:name="_Toc16384"/>
      <w:bookmarkStart w:id="128" w:name="_Toc8546"/>
    </w:p>
    <w:p w14:paraId="6DBB1012">
      <w:pPr>
        <w:keepNext w:val="0"/>
        <w:keepLines w:val="0"/>
        <w:pageBreakBefore w:val="0"/>
        <w:kinsoku/>
        <w:wordWrap w:val="0"/>
        <w:overflowPunct/>
        <w:topLinePunct/>
        <w:bidi w:val="0"/>
        <w:snapToGrid w:val="0"/>
        <w:spacing w:line="360" w:lineRule="auto"/>
        <w:ind w:left="496"/>
        <w:outlineLvl w:val="2"/>
        <w:rPr>
          <w:rFonts w:hint="eastAsia" w:ascii="宋体" w:hAnsi="宋体" w:eastAsia="宋体" w:cs="宋体"/>
          <w:color w:val="auto"/>
          <w:spacing w:val="0"/>
          <w:sz w:val="24"/>
          <w:szCs w:val="24"/>
          <w:highlight w:val="none"/>
          <w:lang w:eastAsia="zh-CN"/>
        </w:rPr>
      </w:pPr>
      <w:bookmarkStart w:id="129" w:name="_Toc25954"/>
      <w:r>
        <w:rPr>
          <w:rFonts w:hint="eastAsia" w:ascii="宋体" w:hAnsi="宋体" w:eastAsia="宋体" w:cs="宋体"/>
          <w:b/>
          <w:bCs/>
          <w:color w:val="auto"/>
          <w:spacing w:val="0"/>
          <w:sz w:val="24"/>
          <w:szCs w:val="24"/>
          <w:highlight w:val="none"/>
        </w:rPr>
        <w:t>16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bookmarkEnd w:id="127"/>
      <w:bookmarkEnd w:id="128"/>
      <w:bookmarkEnd w:id="129"/>
    </w:p>
    <w:p w14:paraId="60F76BE7">
      <w:pPr>
        <w:keepNext w:val="0"/>
        <w:keepLines w:val="0"/>
        <w:pageBreakBefore w:val="0"/>
        <w:kinsoku/>
        <w:wordWrap w:val="0"/>
        <w:overflowPunct/>
        <w:topLinePunct/>
        <w:bidi w:val="0"/>
        <w:adjustRightInd/>
        <w:snapToGrid w:val="0"/>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16.</w:t>
      </w:r>
      <w:r>
        <w:rPr>
          <w:rFonts w:hint="eastAsia" w:ascii="宋体" w:hAnsi="宋体" w:eastAsia="宋体" w:cs="宋体"/>
          <w:b/>
          <w:bCs/>
          <w:color w:val="auto"/>
          <w:spacing w:val="0"/>
          <w:sz w:val="24"/>
          <w:szCs w:val="24"/>
          <w:highlight w:val="none"/>
          <w:lang w:val="en-US" w:eastAsia="zh-CN"/>
        </w:rPr>
        <w:t>1</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定标时间</w:t>
      </w:r>
    </w:p>
    <w:p w14:paraId="4BCF1331">
      <w:pPr>
        <w:keepNext w:val="0"/>
        <w:keepLines w:val="0"/>
        <w:pageBreakBefore w:val="0"/>
        <w:kinsoku/>
        <w:wordWrap w:val="0"/>
        <w:overflowPunct/>
        <w:topLinePunct/>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strike w:val="0"/>
          <w:dstrike w:val="0"/>
          <w:color w:val="auto"/>
          <w:kern w:val="2"/>
          <w:sz w:val="24"/>
          <w:szCs w:val="24"/>
          <w:highlight w:val="none"/>
          <w:u w:val="none"/>
          <w:lang w:val="en-US" w:eastAsia="zh-CN" w:bidi="ar-SA"/>
        </w:rPr>
      </w:pPr>
      <w:r>
        <w:rPr>
          <w:rFonts w:hint="eastAsia" w:ascii="宋体" w:hAnsi="宋体" w:eastAsia="宋体" w:cs="宋体"/>
          <w:strike w:val="0"/>
          <w:dstrike w:val="0"/>
          <w:color w:val="auto"/>
          <w:kern w:val="2"/>
          <w:sz w:val="24"/>
          <w:szCs w:val="24"/>
          <w:highlight w:val="none"/>
          <w:u w:val="none"/>
          <w:lang w:val="en-US" w:eastAsia="zh-CN" w:bidi="ar-SA"/>
        </w:rPr>
        <w:t>招标人应自定标候选人公示期满后5个工作日内进入公共资源交易平台（与评标阶段公共资源交易平台相同）进行定标。定标会议全过程录音录像。招标人需要延期定标的，应通过公共资源交易平台公布延期原因和定标时间。</w:t>
      </w:r>
    </w:p>
    <w:p w14:paraId="59B5F6D0">
      <w:pPr>
        <w:pStyle w:val="14"/>
        <w:keepNext w:val="0"/>
        <w:keepLines w:val="0"/>
        <w:pageBreakBefore w:val="0"/>
        <w:widowControl w:val="0"/>
        <w:kinsoku/>
        <w:wordWrap w:val="0"/>
        <w:overflowPunct/>
        <w:topLinePunct/>
        <w:autoSpaceDE/>
        <w:autoSpaceDN w:val="0"/>
        <w:bidi w:val="0"/>
        <w:adjustRightInd w:val="0"/>
        <w:snapToGrid w:val="0"/>
        <w:spacing w:beforeAutospacing="0" w:after="0" w:afterAutospacing="0" w:line="360" w:lineRule="auto"/>
        <w:ind w:left="0" w:leftChars="0" w:right="0" w:rightChars="0" w:firstLine="482" w:firstLineChars="200"/>
        <w:jc w:val="both"/>
        <w:textAlignment w:val="auto"/>
        <w:outlineLvl w:val="9"/>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定标依据</w:t>
      </w:r>
    </w:p>
    <w:p w14:paraId="0BB17B9B">
      <w:pPr>
        <w:pStyle w:val="14"/>
        <w:keepNext w:val="0"/>
        <w:keepLines w:val="0"/>
        <w:pageBreakBefore w:val="0"/>
        <w:widowControl w:val="0"/>
        <w:kinsoku/>
        <w:wordWrap w:val="0"/>
        <w:overflowPunct/>
        <w:topLinePunct/>
        <w:autoSpaceDE/>
        <w:autoSpaceDN w:val="0"/>
        <w:bidi w:val="0"/>
        <w:adjustRightInd w:val="0"/>
        <w:snapToGrid w:val="0"/>
        <w:spacing w:beforeAutospacing="0" w:after="0" w:afterAutospacing="0" w:line="360" w:lineRule="auto"/>
        <w:ind w:left="0" w:leftChars="0" w:right="0" w:rightChars="0" w:firstLine="480" w:firstLineChars="200"/>
        <w:jc w:val="both"/>
        <w:textAlignment w:val="auto"/>
        <w:outlineLvl w:val="9"/>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（1）现行的法律、法规、规章、规范性文件及国家、省、市各级政府部门工作文件规定；</w:t>
      </w:r>
    </w:p>
    <w:p w14:paraId="1C27B74C">
      <w:pPr>
        <w:pStyle w:val="14"/>
        <w:keepNext w:val="0"/>
        <w:keepLines w:val="0"/>
        <w:pageBreakBefore w:val="0"/>
        <w:widowControl w:val="0"/>
        <w:kinsoku/>
        <w:wordWrap w:val="0"/>
        <w:overflowPunct/>
        <w:topLinePunct/>
        <w:autoSpaceDE/>
        <w:autoSpaceDN w:val="0"/>
        <w:bidi w:val="0"/>
        <w:adjustRightInd w:val="0"/>
        <w:snapToGrid w:val="0"/>
        <w:spacing w:beforeAutospacing="0" w:after="0" w:afterAutospacing="0" w:line="360" w:lineRule="auto"/>
        <w:ind w:left="0" w:leftChars="0" w:right="0" w:rightChars="0" w:firstLine="480" w:firstLineChars="200"/>
        <w:jc w:val="both"/>
        <w:textAlignment w:val="auto"/>
        <w:outlineLvl w:val="9"/>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（2）招标文件及其他补充通知和补充资料；</w:t>
      </w:r>
    </w:p>
    <w:p w14:paraId="554BF58E">
      <w:pPr>
        <w:pStyle w:val="14"/>
        <w:keepNext w:val="0"/>
        <w:keepLines w:val="0"/>
        <w:pageBreakBefore w:val="0"/>
        <w:widowControl w:val="0"/>
        <w:kinsoku/>
        <w:wordWrap w:val="0"/>
        <w:overflowPunct/>
        <w:topLinePunct/>
        <w:autoSpaceDE/>
        <w:autoSpaceDN w:val="0"/>
        <w:bidi w:val="0"/>
        <w:adjustRightInd w:val="0"/>
        <w:snapToGrid w:val="0"/>
        <w:spacing w:beforeAutospacing="0" w:after="0" w:afterAutospacing="0" w:line="360" w:lineRule="auto"/>
        <w:ind w:left="0" w:leftChars="0" w:right="0" w:rightChars="0" w:firstLine="480" w:firstLineChars="200"/>
        <w:jc w:val="both"/>
        <w:textAlignment w:val="auto"/>
        <w:outlineLvl w:val="9"/>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（3）评标报告以及定标候选人推荐名单；</w:t>
      </w:r>
    </w:p>
    <w:p w14:paraId="784AC42B">
      <w:pPr>
        <w:pStyle w:val="14"/>
        <w:keepNext w:val="0"/>
        <w:keepLines w:val="0"/>
        <w:pageBreakBefore w:val="0"/>
        <w:widowControl w:val="0"/>
        <w:kinsoku/>
        <w:wordWrap w:val="0"/>
        <w:overflowPunct/>
        <w:topLinePunct/>
        <w:autoSpaceDE/>
        <w:autoSpaceDN w:val="0"/>
        <w:bidi w:val="0"/>
        <w:adjustRightInd w:val="0"/>
        <w:snapToGrid w:val="0"/>
        <w:spacing w:beforeAutospacing="0" w:after="0" w:afterAutospacing="0" w:line="360" w:lineRule="auto"/>
        <w:ind w:left="0" w:leftChars="0" w:right="0" w:rightChars="0" w:firstLine="480" w:firstLineChars="200"/>
        <w:jc w:val="both"/>
        <w:textAlignment w:val="auto"/>
        <w:outlineLvl w:val="9"/>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（4）定标候选人的投标文件；</w:t>
      </w:r>
    </w:p>
    <w:p w14:paraId="794EE8FD">
      <w:pPr>
        <w:pStyle w:val="14"/>
        <w:keepNext w:val="0"/>
        <w:keepLines w:val="0"/>
        <w:pageBreakBefore w:val="0"/>
        <w:widowControl w:val="0"/>
        <w:kinsoku/>
        <w:wordWrap w:val="0"/>
        <w:overflowPunct/>
        <w:topLinePunct/>
        <w:autoSpaceDE/>
        <w:autoSpaceDN w:val="0"/>
        <w:bidi w:val="0"/>
        <w:adjustRightInd w:val="0"/>
        <w:snapToGrid w:val="0"/>
        <w:spacing w:beforeAutospacing="0" w:after="0" w:afterAutospacing="0" w:line="360" w:lineRule="auto"/>
        <w:ind w:left="0" w:leftChars="0" w:right="0" w:rightChars="0" w:firstLine="480" w:firstLineChars="200"/>
        <w:jc w:val="both"/>
        <w:textAlignment w:val="auto"/>
        <w:outlineLvl w:val="9"/>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（5）开、评标全过程资料；</w:t>
      </w:r>
    </w:p>
    <w:p w14:paraId="7DD85527">
      <w:pPr>
        <w:pStyle w:val="14"/>
        <w:keepNext w:val="0"/>
        <w:keepLines w:val="0"/>
        <w:pageBreakBefore w:val="0"/>
        <w:widowControl w:val="0"/>
        <w:kinsoku/>
        <w:wordWrap w:val="0"/>
        <w:overflowPunct/>
        <w:topLinePunct/>
        <w:autoSpaceDE/>
        <w:autoSpaceDN w:val="0"/>
        <w:bidi w:val="0"/>
        <w:adjustRightInd w:val="0"/>
        <w:snapToGrid w:val="0"/>
        <w:spacing w:beforeAutospacing="0" w:after="0" w:afterAutospacing="0" w:line="360" w:lineRule="auto"/>
        <w:ind w:left="0" w:leftChars="0" w:right="0" w:rightChars="0" w:firstLine="480" w:firstLineChars="200"/>
        <w:jc w:val="both"/>
        <w:textAlignment w:val="auto"/>
        <w:outlineLvl w:val="9"/>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（6）对定标候选人的考察评价资料（如有）；</w:t>
      </w:r>
    </w:p>
    <w:p w14:paraId="20E2E1E7">
      <w:pPr>
        <w:pStyle w:val="14"/>
        <w:keepNext w:val="0"/>
        <w:keepLines w:val="0"/>
        <w:pageBreakBefore w:val="0"/>
        <w:widowControl w:val="0"/>
        <w:kinsoku/>
        <w:wordWrap w:val="0"/>
        <w:overflowPunct/>
        <w:topLinePunct/>
        <w:autoSpaceDE/>
        <w:autoSpaceDN w:val="0"/>
        <w:bidi w:val="0"/>
        <w:adjustRightInd w:val="0"/>
        <w:snapToGrid w:val="0"/>
        <w:spacing w:beforeAutospacing="0" w:after="0" w:afterAutospacing="0" w:line="360" w:lineRule="auto"/>
        <w:ind w:left="0" w:leftChars="0" w:right="0" w:rightChars="0" w:firstLine="480" w:firstLineChars="200"/>
        <w:jc w:val="both"/>
        <w:textAlignment w:val="auto"/>
        <w:outlineLvl w:val="9"/>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（7）关于本工程的其他相关资料。</w:t>
      </w:r>
    </w:p>
    <w:p w14:paraId="33161B21">
      <w:pPr>
        <w:pStyle w:val="14"/>
        <w:keepNext w:val="0"/>
        <w:keepLines w:val="0"/>
        <w:pageBreakBefore w:val="0"/>
        <w:widowControl w:val="0"/>
        <w:kinsoku/>
        <w:wordWrap w:val="0"/>
        <w:overflowPunct/>
        <w:topLinePunct/>
        <w:autoSpaceDE/>
        <w:autoSpaceDN w:val="0"/>
        <w:bidi w:val="0"/>
        <w:adjustRightInd w:val="0"/>
        <w:snapToGrid w:val="0"/>
        <w:spacing w:beforeAutospacing="0" w:after="0" w:afterAutospacing="0" w:line="360" w:lineRule="auto"/>
        <w:ind w:left="479" w:leftChars="228" w:right="0" w:rightChars="0" w:firstLine="0" w:firstLineChars="0"/>
        <w:jc w:val="both"/>
        <w:textAlignment w:val="auto"/>
        <w:outlineLvl w:val="9"/>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3</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定标监督小组</w:t>
      </w:r>
    </w:p>
    <w:p w14:paraId="7699F9F0">
      <w:pPr>
        <w:pStyle w:val="14"/>
        <w:keepNext w:val="0"/>
        <w:keepLines w:val="0"/>
        <w:pageBreakBefore w:val="0"/>
        <w:widowControl w:val="0"/>
        <w:kinsoku/>
        <w:wordWrap w:val="0"/>
        <w:overflowPunct/>
        <w:topLinePunct/>
        <w:autoSpaceDE/>
        <w:autoSpaceDN w:val="0"/>
        <w:bidi w:val="0"/>
        <w:adjustRightInd w:val="0"/>
        <w:snapToGrid w:val="0"/>
        <w:spacing w:beforeAutospacing="0" w:after="0" w:afterAutospacing="0" w:line="360" w:lineRule="auto"/>
        <w:ind w:right="0" w:rightChars="0" w:firstLine="480" w:firstLineChars="200"/>
        <w:jc w:val="both"/>
        <w:textAlignment w:val="auto"/>
        <w:outlineLvl w:val="9"/>
        <w:rPr>
          <w:rFonts w:hint="eastAsia" w:ascii="宋体" w:hAnsi="宋体" w:eastAsia="宋体" w:cs="宋体"/>
          <w:b/>
          <w:color w:val="auto"/>
          <w:highlight w:val="none"/>
        </w:rPr>
      </w:pPr>
      <w:r>
        <w:rPr>
          <w:rFonts w:hint="eastAsia" w:ascii="宋体" w:hAnsi="宋体" w:eastAsia="宋体" w:cs="宋体"/>
          <w:color w:val="auto"/>
          <w:spacing w:val="0"/>
          <w:sz w:val="24"/>
          <w:szCs w:val="24"/>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2DB8E1D5">
      <w:pPr>
        <w:pStyle w:val="14"/>
        <w:keepNext w:val="0"/>
        <w:keepLines w:val="0"/>
        <w:pageBreakBefore w:val="0"/>
        <w:widowControl w:val="0"/>
        <w:kinsoku/>
        <w:wordWrap w:val="0"/>
        <w:overflowPunct/>
        <w:topLinePunct/>
        <w:autoSpaceDE/>
        <w:autoSpaceDN w:val="0"/>
        <w:bidi w:val="0"/>
        <w:adjustRightInd w:val="0"/>
        <w:snapToGrid w:val="0"/>
        <w:spacing w:beforeAutospacing="0" w:after="0" w:afterAutospacing="0" w:line="360" w:lineRule="auto"/>
        <w:ind w:left="0" w:leftChars="0" w:right="0" w:rightChars="0" w:firstLine="482" w:firstLineChars="200"/>
        <w:jc w:val="both"/>
        <w:textAlignment w:val="auto"/>
        <w:outlineLvl w:val="9"/>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定标委员会</w:t>
      </w:r>
    </w:p>
    <w:p w14:paraId="3DBC6EA9">
      <w:pPr>
        <w:pStyle w:val="14"/>
        <w:keepNext w:val="0"/>
        <w:keepLines w:val="0"/>
        <w:pageBreakBefore w:val="0"/>
        <w:widowControl w:val="0"/>
        <w:kinsoku/>
        <w:wordWrap w:val="0"/>
        <w:overflowPunct/>
        <w:topLinePunct/>
        <w:autoSpaceDE/>
        <w:autoSpaceDN w:val="0"/>
        <w:bidi w:val="0"/>
        <w:adjustRightInd w:val="0"/>
        <w:snapToGrid w:val="0"/>
        <w:spacing w:beforeAutospacing="0" w:after="0" w:afterAutospacing="0" w:line="360" w:lineRule="auto"/>
        <w:ind w:left="0" w:leftChars="0" w:right="0" w:rightChars="0" w:firstLine="480" w:firstLineChars="200"/>
        <w:jc w:val="both"/>
        <w:textAlignment w:val="auto"/>
        <w:outlineLvl w:val="9"/>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招标人负责组建定标委员会，由项目建设单位的副职领导担任组长。定标委员会的组成方式和人员由招标人按相关规定自行确定。定标委员会成员数量在本投标人须知前附表中约定。</w:t>
      </w:r>
    </w:p>
    <w:p w14:paraId="14C57A88">
      <w:pPr>
        <w:pStyle w:val="14"/>
        <w:keepNext w:val="0"/>
        <w:keepLines w:val="0"/>
        <w:pageBreakBefore w:val="0"/>
        <w:widowControl w:val="0"/>
        <w:kinsoku/>
        <w:wordWrap w:val="0"/>
        <w:overflowPunct/>
        <w:topLinePunct/>
        <w:autoSpaceDE/>
        <w:autoSpaceDN w:val="0"/>
        <w:bidi w:val="0"/>
        <w:adjustRightInd w:val="0"/>
        <w:snapToGrid w:val="0"/>
        <w:spacing w:beforeAutospacing="0" w:after="0" w:afterAutospacing="0" w:line="360" w:lineRule="auto"/>
        <w:ind w:left="0" w:leftChars="0" w:right="0" w:rightChars="0" w:firstLine="480" w:firstLineChars="200"/>
        <w:jc w:val="both"/>
        <w:textAlignment w:val="auto"/>
        <w:outlineLvl w:val="9"/>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2976AC4C">
      <w:pPr>
        <w:keepNext w:val="0"/>
        <w:keepLines w:val="0"/>
        <w:pageBreakBefore w:val="0"/>
        <w:widowControl/>
        <w:kinsoku/>
        <w:wordWrap w:val="0"/>
        <w:overflowPunct/>
        <w:topLinePunct/>
        <w:autoSpaceDE w:val="0"/>
        <w:autoSpaceDN w:val="0"/>
        <w:bidi w:val="0"/>
        <w:adjustRightInd w:val="0"/>
        <w:snapToGrid w:val="0"/>
        <w:spacing w:line="360" w:lineRule="auto"/>
        <w:ind w:left="239" w:leftChars="114" w:right="0" w:firstLine="241" w:firstLineChars="100"/>
        <w:jc w:val="left"/>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 xml:space="preserve">16.5 </w:t>
      </w:r>
      <w:r>
        <w:rPr>
          <w:rFonts w:hint="eastAsia" w:ascii="宋体" w:hAnsi="宋体" w:eastAsia="宋体" w:cs="宋体"/>
          <w:b/>
          <w:bCs/>
          <w:color w:val="auto"/>
          <w:spacing w:val="0"/>
          <w:sz w:val="24"/>
          <w:szCs w:val="24"/>
          <w:highlight w:val="none"/>
        </w:rPr>
        <w:t>定标规则</w:t>
      </w:r>
    </w:p>
    <w:p w14:paraId="71B8C79E">
      <w:pPr>
        <w:pStyle w:val="14"/>
        <w:keepNext w:val="0"/>
        <w:keepLines w:val="0"/>
        <w:pageBreakBefore w:val="0"/>
        <w:widowControl w:val="0"/>
        <w:kinsoku/>
        <w:wordWrap w:val="0"/>
        <w:overflowPunct/>
        <w:topLinePunct/>
        <w:autoSpaceDE/>
        <w:autoSpaceDN w:val="0"/>
        <w:bidi w:val="0"/>
        <w:adjustRightInd w:val="0"/>
        <w:snapToGrid w:val="0"/>
        <w:spacing w:beforeAutospacing="0" w:after="0" w:afterAutospacing="0" w:line="360" w:lineRule="auto"/>
        <w:ind w:left="0" w:leftChars="0" w:right="0" w:rightChars="0" w:firstLine="480" w:firstLineChars="200"/>
        <w:jc w:val="both"/>
        <w:textAlignment w:val="auto"/>
        <w:outlineLvl w:val="9"/>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0E86CE1C">
      <w:pPr>
        <w:keepNext w:val="0"/>
        <w:keepLines w:val="0"/>
        <w:pageBreakBefore w:val="0"/>
        <w:widowControl/>
        <w:kinsoku/>
        <w:wordWrap w:val="0"/>
        <w:overflowPunct/>
        <w:topLinePunct/>
        <w:autoSpaceDE w:val="0"/>
        <w:autoSpaceDN w:val="0"/>
        <w:bidi w:val="0"/>
        <w:adjustRightInd w:val="0"/>
        <w:snapToGrid w:val="0"/>
        <w:spacing w:line="360" w:lineRule="auto"/>
        <w:ind w:left="239" w:leftChars="114" w:right="0" w:firstLine="241" w:firstLineChars="100"/>
        <w:jc w:val="left"/>
        <w:textAlignment w:val="baseline"/>
        <w:rPr>
          <w:rFonts w:hint="eastAsia" w:ascii="宋体" w:hAnsi="宋体" w:eastAsia="宋体" w:cs="宋体"/>
          <w:color w:val="auto"/>
          <w:spacing w:val="0"/>
          <w:sz w:val="24"/>
          <w:szCs w:val="24"/>
          <w:highlight w:val="none"/>
          <w:lang w:val="en-US"/>
        </w:rPr>
      </w:pPr>
      <w:r>
        <w:rPr>
          <w:rFonts w:hint="eastAsia" w:ascii="宋体" w:hAnsi="宋体" w:eastAsia="宋体" w:cs="宋体"/>
          <w:b/>
          <w:bCs/>
          <w:color w:val="auto"/>
          <w:spacing w:val="0"/>
          <w:sz w:val="24"/>
          <w:szCs w:val="24"/>
          <w:highlight w:val="none"/>
          <w:lang w:val="en-US" w:eastAsia="zh-CN"/>
        </w:rPr>
        <w:t>16.6 定标办法</w:t>
      </w:r>
    </w:p>
    <w:p w14:paraId="69C8D2E6">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由招标人按本项目“投标人须知前附表”的规定确定（只能选定其中一种定标办法）。</w:t>
      </w:r>
    </w:p>
    <w:p w14:paraId="4704982A">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16.6.1票决数量法程序</w:t>
      </w:r>
    </w:p>
    <w:p w14:paraId="359555DE">
      <w:pPr>
        <w:keepNext w:val="0"/>
        <w:keepLines w:val="0"/>
        <w:pageBreakBefore w:val="0"/>
        <w:widowControl w:val="0"/>
        <w:kinsoku/>
        <w:wordWrap w:val="0"/>
        <w:overflowPunct/>
        <w:topLinePunct/>
        <w:autoSpaceDE/>
        <w:autoSpaceDN/>
        <w:bidi w:val="0"/>
        <w:adjustRightInd/>
        <w:snapToGrid w:val="0"/>
        <w:spacing w:line="360" w:lineRule="auto"/>
        <w:ind w:right="0" w:rightChars="0" w:firstLine="480" w:firstLineChars="200"/>
        <w:jc w:val="both"/>
        <w:textAlignment w:val="auto"/>
        <w:outlineLvl w:val="9"/>
        <w:rPr>
          <w:rFonts w:hint="eastAsia" w:ascii="宋体" w:hAnsi="宋体" w:eastAsia="宋体" w:cs="宋体"/>
          <w:b w:val="0"/>
          <w:i w:val="0"/>
          <w:snapToGrid/>
          <w:color w:val="auto"/>
          <w:sz w:val="24"/>
          <w:szCs w:val="24"/>
          <w:highlight w:val="none"/>
          <w:u w:val="none"/>
          <w:shd w:val="clear" w:color="auto" w:fill="FFFFFF"/>
          <w:lang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有且仅有投出1票的权利，1票只能投1名定标侯选人，进行票决排名确定排序的中标候选人。即各定标委员会成员对定标候选人进行投票，按得票高低推荐排序的前三名中标候选人。若第一轮投票中前三名中标候选人有得票相同且影响中标候选人排序确定的，由定标委员会对总票数相同的单位进行再次票决确定排序，直至决出排序的前三名中标侯选人。若定标侯选人中没有符合评审要求的三名中标候选人，则宣告本次招标失败。票决采用记名方式并注明投票理由。</w:t>
      </w:r>
    </w:p>
    <w:p w14:paraId="53E32523">
      <w:pPr>
        <w:keepNext w:val="0"/>
        <w:keepLines w:val="0"/>
        <w:pageBreakBefore w:val="0"/>
        <w:widowControl w:val="0"/>
        <w:kinsoku/>
        <w:wordWrap w:val="0"/>
        <w:overflowPunct/>
        <w:topLinePunct/>
        <w:autoSpaceDE/>
        <w:autoSpaceDN/>
        <w:bidi w:val="0"/>
        <w:adjustRightInd/>
        <w:snapToGrid w:val="0"/>
        <w:spacing w:line="360" w:lineRule="auto"/>
        <w:ind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16.6.2</w:t>
      </w:r>
      <w:r>
        <w:rPr>
          <w:rFonts w:hint="eastAsia" w:ascii="宋体" w:hAnsi="宋体" w:eastAsia="宋体" w:cs="宋体"/>
          <w:b/>
          <w:bCs/>
          <w:color w:val="auto"/>
          <w:sz w:val="24"/>
          <w:szCs w:val="24"/>
          <w:highlight w:val="none"/>
          <w:u w:val="none"/>
          <w:shd w:val="clear" w:color="auto" w:fill="FFFFFF"/>
        </w:rPr>
        <w:t>项目情况介绍</w:t>
      </w:r>
    </w:p>
    <w:p w14:paraId="30A60AB0">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6BD511F1">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16.6.3</w:t>
      </w:r>
      <w:r>
        <w:rPr>
          <w:rFonts w:hint="eastAsia" w:ascii="宋体" w:hAnsi="宋体" w:eastAsia="宋体" w:cs="宋体"/>
          <w:b/>
          <w:bCs/>
          <w:color w:val="auto"/>
          <w:sz w:val="24"/>
          <w:szCs w:val="24"/>
          <w:highlight w:val="none"/>
          <w:u w:val="none"/>
          <w:shd w:val="clear" w:color="auto" w:fill="FFFFFF"/>
        </w:rPr>
        <w:t>审阅定标资料</w:t>
      </w:r>
    </w:p>
    <w:p w14:paraId="6287E980">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6D137632">
      <w:pPr>
        <w:pStyle w:val="14"/>
        <w:keepNext w:val="0"/>
        <w:keepLines w:val="0"/>
        <w:pageBreakBefore w:val="0"/>
        <w:numPr>
          <w:ilvl w:val="0"/>
          <w:numId w:val="0"/>
        </w:numPr>
        <w:shd w:val="clear" w:color="auto" w:fill="FFFFFF"/>
        <w:kinsoku/>
        <w:wordWrap w:val="0"/>
        <w:overflowPunct/>
        <w:topLinePunct/>
        <w:autoSpaceDE/>
        <w:autoSpaceDN/>
        <w:bidi w:val="0"/>
        <w:adjustRightInd/>
        <w:snapToGrid w:val="0"/>
        <w:spacing w:beforeAutospacing="0" w:after="0" w:afterAutospacing="0" w:line="360" w:lineRule="auto"/>
        <w:ind w:leftChars="228"/>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16.6.4</w:t>
      </w:r>
      <w:r>
        <w:rPr>
          <w:rFonts w:hint="eastAsia" w:ascii="宋体" w:hAnsi="宋体" w:eastAsia="宋体" w:cs="宋体"/>
          <w:b/>
          <w:bCs/>
          <w:color w:val="auto"/>
          <w:sz w:val="24"/>
          <w:szCs w:val="24"/>
          <w:highlight w:val="none"/>
          <w:u w:val="none"/>
          <w:shd w:val="clear" w:color="auto" w:fill="FFFFFF"/>
        </w:rPr>
        <w:t>疑问澄清</w:t>
      </w:r>
    </w:p>
    <w:p w14:paraId="1656A813">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150C01A0">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16.6.5投票，收票，点票和汇总</w:t>
      </w:r>
    </w:p>
    <w:p w14:paraId="2FC1190A">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6C1B1714">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16.6.6定标结果和定标报告</w:t>
      </w:r>
    </w:p>
    <w:p w14:paraId="7C1D3386">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188F68E0">
      <w:pPr>
        <w:pStyle w:val="14"/>
        <w:keepNext w:val="0"/>
        <w:keepLines w:val="0"/>
        <w:pageBreakBefore w:val="0"/>
        <w:numPr>
          <w:ilvl w:val="0"/>
          <w:numId w:val="0"/>
        </w:numPr>
        <w:shd w:val="clear" w:color="auto" w:fill="FFFFFF"/>
        <w:kinsoku/>
        <w:wordWrap w:val="0"/>
        <w:overflowPunct/>
        <w:topLinePunct/>
        <w:autoSpaceDE/>
        <w:autoSpaceDN/>
        <w:bidi w:val="0"/>
        <w:adjustRightInd/>
        <w:snapToGrid w:val="0"/>
        <w:spacing w:beforeAutospacing="0" w:after="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16.6.7</w:t>
      </w:r>
      <w:r>
        <w:rPr>
          <w:rFonts w:hint="eastAsia" w:ascii="宋体" w:hAnsi="宋体" w:eastAsia="宋体" w:cs="宋体"/>
          <w:b/>
          <w:bCs/>
          <w:color w:val="auto"/>
          <w:sz w:val="24"/>
          <w:szCs w:val="24"/>
          <w:highlight w:val="none"/>
          <w:u w:val="none"/>
          <w:shd w:val="clear" w:color="auto" w:fill="FFFFFF"/>
        </w:rPr>
        <w:t>全程监督</w:t>
      </w:r>
    </w:p>
    <w:p w14:paraId="01492114">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071EFC9C">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16.7定标因素</w:t>
      </w:r>
    </w:p>
    <w:p w14:paraId="064BF2A1">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55229A60">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16.7.1拟派团队管理能力与水平（履约能力）</w:t>
      </w:r>
    </w:p>
    <w:p w14:paraId="58D4327A">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7B54D42D">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16.7.2企业信誉</w:t>
      </w:r>
    </w:p>
    <w:p w14:paraId="54035860">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125ADBC6">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16.7.3农民工工资保障情况</w:t>
      </w:r>
    </w:p>
    <w:p w14:paraId="04DD3213">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p>
    <w:p w14:paraId="00E79DE3">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16.7.4技术方案</w:t>
      </w:r>
    </w:p>
    <w:p w14:paraId="4D08C39C">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技术方案的定标候选人优于技术方案一般的定标候选人。（技术方案包括但不限于对保证措施、施工计划和技术、工艺及工程项目实施的重点、难点分析和解决方案、安全文明施工措施、新技术应用、质量保证和违约责任承诺等的充分考虑，技术方案合理性、科学性、表述清晰、完整、具体、有效并实施可行。）</w:t>
      </w:r>
    </w:p>
    <w:p w14:paraId="7DE91CDC">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16.7.5服务响应能力</w:t>
      </w:r>
    </w:p>
    <w:p w14:paraId="5A928AD7">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相对标准：对于项目施工过程中的响应能力适应项目实际，合理可行度高的定标候选人优于一般的定标候选人。</w:t>
      </w:r>
    </w:p>
    <w:p w14:paraId="4B0EAD0C">
      <w:pPr>
        <w:keepNext w:val="0"/>
        <w:keepLines w:val="0"/>
        <w:pageBreakBefore w:val="0"/>
        <w:kinsoku/>
        <w:wordWrap w:val="0"/>
        <w:overflowPunct/>
        <w:topLinePunct/>
        <w:bidi w:val="0"/>
        <w:snapToGrid w:val="0"/>
        <w:spacing w:line="360" w:lineRule="auto"/>
        <w:ind w:left="496"/>
        <w:outlineLvl w:val="2"/>
        <w:rPr>
          <w:rFonts w:hint="eastAsia" w:ascii="宋体" w:hAnsi="宋体" w:eastAsia="宋体" w:cs="宋体"/>
          <w:b/>
          <w:bCs/>
          <w:color w:val="auto"/>
          <w:spacing w:val="0"/>
          <w:sz w:val="24"/>
          <w:szCs w:val="24"/>
          <w:highlight w:val="none"/>
        </w:rPr>
      </w:pPr>
      <w:bookmarkStart w:id="130" w:name="_Toc29768"/>
      <w:bookmarkStart w:id="131" w:name="_Toc11908"/>
      <w:r>
        <w:rPr>
          <w:rFonts w:hint="eastAsia" w:ascii="宋体" w:hAnsi="宋体" w:eastAsia="宋体" w:cs="宋体"/>
          <w:b/>
          <w:bCs/>
          <w:color w:val="auto"/>
          <w:spacing w:val="0"/>
          <w:sz w:val="24"/>
          <w:szCs w:val="24"/>
          <w:highlight w:val="none"/>
          <w:lang w:val="en-US" w:eastAsia="zh-CN"/>
        </w:rPr>
        <w:t>16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8 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结果</w:t>
      </w:r>
      <w:r>
        <w:rPr>
          <w:rFonts w:hint="eastAsia" w:ascii="宋体" w:hAnsi="宋体" w:eastAsia="宋体" w:cs="宋体"/>
          <w:b/>
          <w:bCs/>
          <w:color w:val="auto"/>
          <w:spacing w:val="0"/>
          <w:sz w:val="24"/>
          <w:szCs w:val="24"/>
          <w:highlight w:val="none"/>
        </w:rPr>
        <w:t>公示</w:t>
      </w:r>
      <w:bookmarkEnd w:id="130"/>
      <w:bookmarkEnd w:id="131"/>
    </w:p>
    <w:p w14:paraId="661E7947">
      <w:pPr>
        <w:keepNext w:val="0"/>
        <w:keepLines w:val="0"/>
        <w:pageBreakBefore w:val="0"/>
        <w:widowControl/>
        <w:kinsoku/>
        <w:wordWrap w:val="0"/>
        <w:overflowPunct/>
        <w:topLinePunct/>
        <w:autoSpaceDE w:val="0"/>
        <w:autoSpaceDN w:val="0"/>
        <w:bidi w:val="0"/>
        <w:adjustRightInd w:val="0"/>
        <w:snapToGrid w:val="0"/>
        <w:spacing w:line="360" w:lineRule="auto"/>
        <w:ind w:right="108" w:firstLine="480" w:firstLineChars="20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trike w:val="0"/>
          <w:dstrike w:val="0"/>
          <w:color w:val="auto"/>
          <w:kern w:val="2"/>
          <w:sz w:val="24"/>
          <w:szCs w:val="24"/>
          <w:highlight w:val="none"/>
          <w:u w:val="none"/>
          <w:lang w:val="en-US" w:eastAsia="zh-CN" w:bidi="ar-SA"/>
        </w:rPr>
        <w:t>定标委员会完成定标后，招标人应于定标会结束后3日内将中标候选人和定标情况在</w:t>
      </w:r>
      <w:r>
        <w:rPr>
          <w:rFonts w:hint="eastAsia" w:ascii="宋体" w:hAnsi="宋体" w:eastAsia="宋体" w:cs="宋体"/>
          <w:color w:val="auto"/>
          <w:spacing w:val="0"/>
          <w:sz w:val="24"/>
          <w:szCs w:val="24"/>
          <w:highlight w:val="none"/>
        </w:rPr>
        <w:t>广东省招标投标监管网（http://zbtb.gd.gov.cn）、全国公共资源交易平台（广东省·韶关市）（https://ygp.gdzwfw.gov.cn/ggzy-portal/#/440200/index）进行公示，公示时间不少于3个工作日。公示主要内容包括：定标报告（定标成员信息除外）、中标人名单、中标价</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拟投入本项目的项目负责人、技术负责人及各专业负责人（如有）等内容。</w:t>
      </w:r>
    </w:p>
    <w:p w14:paraId="2695B909">
      <w:pPr>
        <w:keepNext w:val="0"/>
        <w:keepLines w:val="0"/>
        <w:pageBreakBefore w:val="0"/>
        <w:widowControl/>
        <w:kinsoku/>
        <w:wordWrap w:val="0"/>
        <w:overflowPunct/>
        <w:topLinePunct/>
        <w:autoSpaceDE w:val="0"/>
        <w:autoSpaceDN w:val="0"/>
        <w:bidi w:val="0"/>
        <w:adjustRightInd w:val="0"/>
        <w:snapToGrid w:val="0"/>
        <w:spacing w:line="360" w:lineRule="auto"/>
        <w:ind w:right="108" w:firstLine="482" w:firstLineChars="200"/>
        <w:jc w:val="both"/>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投标人应理解招标人不一定要接纳本次招标评标阶段综合得分最高的投标人中标</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rPr>
        <w:t>也不要求</w:t>
      </w:r>
      <w:r>
        <w:rPr>
          <w:rFonts w:hint="eastAsia" w:ascii="宋体" w:hAnsi="宋体" w:eastAsia="宋体" w:cs="宋体"/>
          <w:b/>
          <w:bCs/>
          <w:color w:val="auto"/>
          <w:spacing w:val="0"/>
          <w:sz w:val="24"/>
          <w:szCs w:val="24"/>
          <w:highlight w:val="none"/>
          <w:lang w:val="en-US" w:eastAsia="zh-CN"/>
        </w:rPr>
        <w:t>招标人</w:t>
      </w:r>
      <w:r>
        <w:rPr>
          <w:rFonts w:hint="eastAsia" w:ascii="宋体" w:hAnsi="宋体" w:eastAsia="宋体" w:cs="宋体"/>
          <w:b/>
          <w:bCs/>
          <w:color w:val="auto"/>
          <w:spacing w:val="0"/>
          <w:sz w:val="24"/>
          <w:szCs w:val="24"/>
          <w:highlight w:val="none"/>
        </w:rPr>
        <w:t>解释</w:t>
      </w:r>
      <w:r>
        <w:rPr>
          <w:rFonts w:hint="eastAsia" w:ascii="宋体" w:hAnsi="宋体" w:eastAsia="宋体" w:cs="宋体"/>
          <w:b/>
          <w:bCs/>
          <w:color w:val="auto"/>
          <w:spacing w:val="0"/>
          <w:sz w:val="24"/>
          <w:szCs w:val="24"/>
          <w:highlight w:val="none"/>
          <w:lang w:val="en-US" w:eastAsia="zh-CN"/>
        </w:rPr>
        <w:t>其</w:t>
      </w:r>
      <w:r>
        <w:rPr>
          <w:rFonts w:hint="eastAsia" w:ascii="宋体" w:hAnsi="宋体" w:eastAsia="宋体" w:cs="宋体"/>
          <w:b/>
          <w:bCs/>
          <w:color w:val="auto"/>
          <w:spacing w:val="0"/>
          <w:sz w:val="24"/>
          <w:szCs w:val="24"/>
          <w:highlight w:val="none"/>
        </w:rPr>
        <w:t>是否中标的原因。</w:t>
      </w:r>
    </w:p>
    <w:p w14:paraId="6DB43383">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2" w:firstLineChars="200"/>
        <w:jc w:val="both"/>
        <w:textAlignment w:val="auto"/>
        <w:outlineLvl w:val="9"/>
        <w:rPr>
          <w:rFonts w:hint="default"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17.中标人确定</w:t>
      </w:r>
    </w:p>
    <w:p w14:paraId="504E1CE1">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定标结果公示期满无异议（投诉）后，招标人确认排名第一的中标候选人为中标人，中标人的投标报价即为中标价。在中标通知书发出后 5 个工作日内，韶关市公共资源交易中心将投标保证金（或银行保函）退还给中标候选人以外的投标人。</w:t>
      </w:r>
    </w:p>
    <w:p w14:paraId="49AA8A16">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2" w:firstLineChars="200"/>
        <w:jc w:val="both"/>
        <w:textAlignment w:val="auto"/>
        <w:outlineLvl w:val="9"/>
        <w:rPr>
          <w:rFonts w:hint="default"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18.异议和投诉</w:t>
      </w:r>
    </w:p>
    <w:p w14:paraId="0875469A">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18.1投标人或者其他利害关系人对招标项目的评标和中标结果有异议的，应当在定标候选人和中标候选人公示期间向招标人提出</w:t>
      </w:r>
      <w:r>
        <w:rPr>
          <w:rFonts w:hint="eastAsia" w:ascii="宋体" w:hAnsi="宋体" w:eastAsia="宋体" w:cs="宋体"/>
          <w:b/>
          <w:bCs/>
          <w:color w:val="auto"/>
          <w:spacing w:val="0"/>
          <w:position w:val="0"/>
          <w:sz w:val="24"/>
          <w:szCs w:val="24"/>
          <w:highlight w:val="none"/>
          <w:u w:val="none" w:color="auto"/>
          <w:lang w:val="en-US" w:eastAsia="zh-CN"/>
        </w:rPr>
        <w:t>书面异议</w:t>
      </w:r>
      <w:r>
        <w:rPr>
          <w:rFonts w:hint="eastAsia" w:ascii="宋体" w:hAnsi="宋体" w:eastAsia="宋体" w:cs="宋体"/>
          <w:b w:val="0"/>
          <w:bCs w:val="0"/>
          <w:color w:val="auto"/>
          <w:spacing w:val="0"/>
          <w:position w:val="0"/>
          <w:sz w:val="24"/>
          <w:szCs w:val="24"/>
          <w:highlight w:val="none"/>
          <w:u w:val="none" w:color="auto"/>
          <w:lang w:val="en-US" w:eastAsia="zh-CN"/>
        </w:rPr>
        <w:t>，否则招标人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w:t>
      </w:r>
      <w:bookmarkStart w:id="132" w:name="OLE_LINK3"/>
      <w:r>
        <w:rPr>
          <w:rFonts w:hint="eastAsia" w:ascii="宋体" w:hAnsi="宋体" w:eastAsia="宋体" w:cs="宋体"/>
          <w:b w:val="0"/>
          <w:bCs w:val="0"/>
          <w:color w:val="auto"/>
          <w:spacing w:val="0"/>
          <w:position w:val="0"/>
          <w:sz w:val="24"/>
          <w:szCs w:val="24"/>
          <w:highlight w:val="none"/>
          <w:u w:val="none" w:color="auto"/>
          <w:lang w:val="en-US" w:eastAsia="zh-CN"/>
        </w:rPr>
        <w:t>《韶关市工程建设项目招标投标活动异议和投诉处理办法》（韶发改〔2021〕44号）</w:t>
      </w:r>
      <w:bookmarkEnd w:id="132"/>
      <w:r>
        <w:rPr>
          <w:rFonts w:hint="eastAsia" w:ascii="宋体" w:hAnsi="宋体" w:eastAsia="宋体" w:cs="宋体"/>
          <w:b w:val="0"/>
          <w:bCs w:val="0"/>
          <w:color w:val="auto"/>
          <w:spacing w:val="0"/>
          <w:position w:val="0"/>
          <w:sz w:val="24"/>
          <w:szCs w:val="24"/>
          <w:highlight w:val="none"/>
          <w:u w:val="none" w:color="auto"/>
          <w:lang w:val="en-US" w:eastAsia="zh-CN"/>
        </w:rPr>
        <w:t>执行。如通过交易服务平台提出异议，投标人必须上传提交异议书扫描件（作为附件），异议书格式内容按照《韶关市工程建设项目招标投标活动异议和投诉处理办法》（韶发改〔2021〕44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异议逾期提出的不予受理。</w:t>
      </w:r>
    </w:p>
    <w:p w14:paraId="09864B4A">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18.2在定标候选人和中标候选人公示期间有关评标结果的异议成立的，招标人原则上应当组织原评标委员会和原定标委员会对有关的问题予以纠正，问题纠正后再公示定标候选人和中标候选人。</w:t>
      </w:r>
    </w:p>
    <w:p w14:paraId="18237A22">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18.3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07A7C284">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19．取消中标候选人资格及废除授标</w:t>
      </w:r>
    </w:p>
    <w:p w14:paraId="660C6FC2">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19.1评定标完成后，中标候选人有下列情形之一的，招标人应按规定取消中标候选人资格或废除授标：</w:t>
      </w:r>
    </w:p>
    <w:p w14:paraId="500E6741">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（1）以他人名义投标或者以其他方式弄虚作假骗取中标的；</w:t>
      </w:r>
    </w:p>
    <w:p w14:paraId="21EA3503">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（2）与其他投标人串通投标或以行贿的手段谋取中标的；</w:t>
      </w:r>
    </w:p>
    <w:p w14:paraId="0BB0743B">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（3）不是从本投标企业基本账户提交投标担保或以虚假方式提交投标保证金保函（保单）的；</w:t>
      </w:r>
    </w:p>
    <w:p w14:paraId="663AAF49">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（4）中标人于投标有效期终止之前撤回投标文件，或者排名第一的中标候选人放弃中标资格的；</w:t>
      </w:r>
    </w:p>
    <w:p w14:paraId="2C10AAB6">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（5）因中标人过错而未能按照规定与招标人签订工程总承包合同或中标人因不可抗力提出不能履行合同的；</w:t>
      </w:r>
    </w:p>
    <w:p w14:paraId="4F763D7A">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（6）因中标人过错而未能按照招标文件要求向招标人提交履约担保的；</w:t>
      </w:r>
    </w:p>
    <w:p w14:paraId="77D04025">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（7）中标单位拟派的项目负责人从投标截止时间起在其他建设工程担任项目负责人；</w:t>
      </w:r>
    </w:p>
    <w:p w14:paraId="5B0F483C">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（8）中标人被有关部门查实存在影响中标结果的违法行为，不符合中标条件的；</w:t>
      </w:r>
    </w:p>
    <w:p w14:paraId="626EF1AC">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（9）中标人在参加本项目投标时有本企业投标承诺书所列被依法限制或暂停承揽业务或停业的处罚的；</w:t>
      </w:r>
    </w:p>
    <w:p w14:paraId="6B6DB71D">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（10）招标文件明确规定可以废除授标的其他情形。</w:t>
      </w:r>
    </w:p>
    <w:p w14:paraId="07BDAD90">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19.2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071C18CE">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20.招标人有下列情形之一的，应依法承担相应的责任：</w:t>
      </w:r>
    </w:p>
    <w:p w14:paraId="75D63935">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（1）无正当理由不发出中标通知书的；</w:t>
      </w:r>
    </w:p>
    <w:p w14:paraId="3D542008">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（2）招标人不按照规定确定中标人的；</w:t>
      </w:r>
    </w:p>
    <w:p w14:paraId="6F0EEC9F">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（3）中标通知书发出后无正当理由改变中标结果的；</w:t>
      </w:r>
    </w:p>
    <w:p w14:paraId="282CA541">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（4）无正当理由不与中标人签订工程总承包合同的；</w:t>
      </w:r>
    </w:p>
    <w:p w14:paraId="49E7D82B">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80" w:firstLineChars="200"/>
        <w:jc w:val="both"/>
        <w:textAlignment w:val="auto"/>
        <w:outlineLvl w:val="9"/>
        <w:rPr>
          <w:rFonts w:hint="eastAsia" w:ascii="宋体" w:hAnsi="宋体" w:eastAsia="宋体" w:cs="宋体"/>
          <w:color w:val="auto"/>
          <w:spacing w:val="0"/>
          <w:sz w:val="24"/>
          <w:szCs w:val="24"/>
          <w:highlight w:val="none"/>
        </w:rPr>
      </w:pPr>
      <w:r>
        <w:rPr>
          <w:rFonts w:hint="eastAsia" w:ascii="宋体" w:hAnsi="宋体" w:eastAsia="宋体" w:cs="宋体"/>
          <w:b w:val="0"/>
          <w:bCs w:val="0"/>
          <w:color w:val="auto"/>
          <w:spacing w:val="0"/>
          <w:position w:val="0"/>
          <w:sz w:val="24"/>
          <w:szCs w:val="24"/>
          <w:highlight w:val="none"/>
          <w:u w:val="none" w:color="auto"/>
          <w:lang w:val="en-US" w:eastAsia="zh-CN"/>
        </w:rPr>
        <w:t>（5）在签订工程总承包合同时向中标人提出附加条件或者更改合同实质性内容的。</w:t>
      </w:r>
      <w:r>
        <w:rPr>
          <w:rFonts w:hint="eastAsia" w:ascii="宋体" w:hAnsi="宋体" w:eastAsia="宋体" w:cs="宋体"/>
          <w:color w:val="auto"/>
          <w:spacing w:val="0"/>
          <w:sz w:val="24"/>
          <w:szCs w:val="24"/>
          <w:highlight w:val="none"/>
        </w:rPr>
        <w:br w:type="page"/>
      </w:r>
    </w:p>
    <w:p w14:paraId="0A313DD3">
      <w:pPr>
        <w:keepNext w:val="0"/>
        <w:keepLines w:val="0"/>
        <w:pageBreakBefore w:val="0"/>
        <w:kinsoku/>
        <w:wordWrap w:val="0"/>
        <w:overflowPunct/>
        <w:topLinePunct/>
        <w:bidi w:val="0"/>
        <w:spacing w:before="78" w:line="220" w:lineRule="auto"/>
        <w:ind w:left="9"/>
        <w:jc w:val="center"/>
        <w:outlineLvl w:val="1"/>
        <w:rPr>
          <w:rFonts w:hint="eastAsia" w:ascii="宋体" w:hAnsi="宋体" w:eastAsia="宋体" w:cs="宋体"/>
          <w:color w:val="auto"/>
          <w:spacing w:val="0"/>
          <w:sz w:val="28"/>
          <w:szCs w:val="28"/>
          <w:highlight w:val="none"/>
        </w:rPr>
      </w:pPr>
      <w:bookmarkStart w:id="133" w:name="_Toc14567"/>
      <w:r>
        <w:rPr>
          <w:rFonts w:hint="eastAsia" w:ascii="宋体" w:hAnsi="宋体" w:eastAsia="宋体" w:cs="宋体"/>
          <w:b/>
          <w:bCs/>
          <w:color w:val="auto"/>
          <w:spacing w:val="0"/>
          <w:sz w:val="28"/>
          <w:szCs w:val="28"/>
          <w:highlight w:val="none"/>
        </w:rPr>
        <w:t>第四节</w:t>
      </w:r>
      <w:r>
        <w:rPr>
          <w:rFonts w:hint="eastAsia" w:ascii="宋体" w:hAnsi="宋体" w:eastAsia="宋体" w:cs="宋体"/>
          <w:color w:val="auto"/>
          <w:spacing w:val="0"/>
          <w:sz w:val="28"/>
          <w:szCs w:val="28"/>
          <w:highlight w:val="none"/>
        </w:rPr>
        <w:t xml:space="preserve"> </w:t>
      </w:r>
      <w:r>
        <w:rPr>
          <w:rFonts w:hint="eastAsia" w:ascii="宋体" w:hAnsi="宋体" w:eastAsia="宋体" w:cs="宋体"/>
          <w:b/>
          <w:bCs/>
          <w:color w:val="auto"/>
          <w:spacing w:val="0"/>
          <w:sz w:val="28"/>
          <w:szCs w:val="28"/>
          <w:highlight w:val="none"/>
        </w:rPr>
        <w:t>否决投标条件</w:t>
      </w:r>
      <w:bookmarkEnd w:id="133"/>
    </w:p>
    <w:p w14:paraId="0E62634B">
      <w:pPr>
        <w:pStyle w:val="6"/>
        <w:keepNext w:val="0"/>
        <w:keepLines w:val="0"/>
        <w:pageBreakBefore w:val="0"/>
        <w:kinsoku/>
        <w:wordWrap w:val="0"/>
        <w:overflowPunct/>
        <w:topLinePunct/>
        <w:bidi w:val="0"/>
        <w:spacing w:line="256" w:lineRule="auto"/>
        <w:rPr>
          <w:rFonts w:hint="eastAsia" w:ascii="宋体" w:hAnsi="宋体" w:eastAsia="宋体" w:cs="宋体"/>
          <w:color w:val="auto"/>
          <w:spacing w:val="0"/>
          <w:highlight w:val="none"/>
        </w:rPr>
      </w:pPr>
    </w:p>
    <w:p w14:paraId="38D6A127">
      <w:pPr>
        <w:keepNext w:val="0"/>
        <w:keepLines w:val="0"/>
        <w:pageBreakBefore w:val="0"/>
        <w:widowControl/>
        <w:kinsoku/>
        <w:wordWrap w:val="0"/>
        <w:overflowPunct/>
        <w:topLinePunct/>
        <w:autoSpaceDE w:val="0"/>
        <w:autoSpaceDN w:val="0"/>
        <w:bidi w:val="0"/>
        <w:adjustRightInd w:val="0"/>
        <w:snapToGrid w:val="0"/>
        <w:spacing w:line="360" w:lineRule="auto"/>
        <w:ind w:left="10" w:right="65" w:firstLine="48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本节所集中列示的否决投标条件，是本章第三节“投标人须知正文 ”的组成部分，是对本章第三节所规定的否决投标条件的总结和补充。</w:t>
      </w:r>
      <w:r>
        <w:rPr>
          <w:rFonts w:hint="eastAsia" w:ascii="宋体" w:hAnsi="宋体" w:eastAsia="宋体" w:cs="宋体"/>
          <w:b/>
          <w:bCs/>
          <w:color w:val="auto"/>
          <w:spacing w:val="0"/>
          <w:sz w:val="24"/>
          <w:szCs w:val="24"/>
          <w:highlight w:val="none"/>
        </w:rPr>
        <w:t>投标人未有列入本节情形的，评标时一律不得否决其投标。</w:t>
      </w:r>
      <w:r>
        <w:rPr>
          <w:rFonts w:hint="eastAsia" w:ascii="宋体" w:hAnsi="宋体" w:eastAsia="宋体" w:cs="宋体"/>
          <w:color w:val="auto"/>
          <w:spacing w:val="0"/>
          <w:sz w:val="24"/>
          <w:szCs w:val="24"/>
          <w:highlight w:val="none"/>
        </w:rPr>
        <w:t>本节所称“规定 ”均指招标文件的规定。</w:t>
      </w:r>
    </w:p>
    <w:p w14:paraId="40616830">
      <w:pPr>
        <w:keepNext w:val="0"/>
        <w:keepLines w:val="0"/>
        <w:pageBreakBefore w:val="0"/>
        <w:widowControl/>
        <w:kinsoku/>
        <w:wordWrap w:val="0"/>
        <w:overflowPunct/>
        <w:topLinePunct/>
        <w:autoSpaceDE w:val="0"/>
        <w:autoSpaceDN w:val="0"/>
        <w:bidi w:val="0"/>
        <w:adjustRightInd w:val="0"/>
        <w:snapToGrid w:val="0"/>
        <w:spacing w:line="360" w:lineRule="auto"/>
        <w:ind w:left="495"/>
        <w:textAlignment w:val="baseline"/>
        <w:outlineLvl w:val="2"/>
        <w:rPr>
          <w:rFonts w:hint="eastAsia" w:ascii="宋体" w:hAnsi="宋体" w:eastAsia="宋体" w:cs="宋体"/>
          <w:color w:val="auto"/>
          <w:spacing w:val="0"/>
          <w:sz w:val="24"/>
          <w:szCs w:val="24"/>
          <w:highlight w:val="none"/>
        </w:rPr>
      </w:pPr>
      <w:bookmarkStart w:id="134" w:name="_Toc28998"/>
      <w:r>
        <w:rPr>
          <w:rFonts w:hint="eastAsia" w:ascii="宋体" w:hAnsi="宋体" w:eastAsia="宋体" w:cs="宋体"/>
          <w:b/>
          <w:bCs/>
          <w:color w:val="auto"/>
          <w:spacing w:val="0"/>
          <w:sz w:val="24"/>
          <w:szCs w:val="24"/>
          <w:highlight w:val="none"/>
        </w:rPr>
        <w:t>1 ．资格评审环节</w:t>
      </w:r>
      <w:bookmarkEnd w:id="134"/>
    </w:p>
    <w:p w14:paraId="002C50B9">
      <w:pPr>
        <w:keepNext w:val="0"/>
        <w:keepLines w:val="0"/>
        <w:pageBreakBefore w:val="0"/>
        <w:widowControl/>
        <w:kinsoku/>
        <w:wordWrap w:val="0"/>
        <w:overflowPunct/>
        <w:topLinePunct/>
        <w:autoSpaceDE w:val="0"/>
        <w:autoSpaceDN w:val="0"/>
        <w:bidi w:val="0"/>
        <w:adjustRightInd w:val="0"/>
        <w:snapToGrid w:val="0"/>
        <w:spacing w:line="360" w:lineRule="auto"/>
        <w:ind w:left="13" w:right="65" w:firstLine="47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投标人有下列情形之一的，评标委员会应否决其投标。被否决的投标人，不进入形式评审环节。</w:t>
      </w:r>
    </w:p>
    <w:p w14:paraId="70931B59">
      <w:pPr>
        <w:keepNext w:val="0"/>
        <w:keepLines w:val="0"/>
        <w:pageBreakBefore w:val="0"/>
        <w:widowControl/>
        <w:kinsoku/>
        <w:wordWrap w:val="0"/>
        <w:overflowPunct/>
        <w:topLinePunct/>
        <w:autoSpaceDE w:val="0"/>
        <w:autoSpaceDN w:val="0"/>
        <w:bidi w:val="0"/>
        <w:adjustRightInd w:val="0"/>
        <w:snapToGrid w:val="0"/>
        <w:spacing w:line="360" w:lineRule="auto"/>
        <w:ind w:left="5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（1）有本章第三节第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”规定的任何一种情形；</w:t>
      </w:r>
    </w:p>
    <w:p w14:paraId="659C98B9">
      <w:pPr>
        <w:keepNext w:val="0"/>
        <w:keepLines w:val="0"/>
        <w:pageBreakBefore w:val="0"/>
        <w:widowControl/>
        <w:kinsoku/>
        <w:wordWrap w:val="0"/>
        <w:overflowPunct/>
        <w:topLinePunct/>
        <w:autoSpaceDE w:val="0"/>
        <w:autoSpaceDN w:val="0"/>
        <w:bidi w:val="0"/>
        <w:adjustRightInd w:val="0"/>
        <w:snapToGrid w:val="0"/>
        <w:spacing w:line="360" w:lineRule="auto"/>
        <w:ind w:left="5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（2）投标人资质不符合规定的；</w:t>
      </w:r>
    </w:p>
    <w:p w14:paraId="511080CD">
      <w:pPr>
        <w:keepNext w:val="0"/>
        <w:keepLines w:val="0"/>
        <w:pageBreakBefore w:val="0"/>
        <w:widowControl/>
        <w:kinsoku/>
        <w:wordWrap w:val="0"/>
        <w:overflowPunct/>
        <w:topLinePunct/>
        <w:autoSpaceDE w:val="0"/>
        <w:autoSpaceDN w:val="0"/>
        <w:bidi w:val="0"/>
        <w:adjustRightInd w:val="0"/>
        <w:snapToGrid w:val="0"/>
        <w:spacing w:line="360" w:lineRule="auto"/>
        <w:ind w:right="57" w:firstLine="5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22C10F2">
      <w:pPr>
        <w:keepNext w:val="0"/>
        <w:keepLines w:val="0"/>
        <w:pageBreakBefore w:val="0"/>
        <w:widowControl/>
        <w:kinsoku/>
        <w:wordWrap w:val="0"/>
        <w:overflowPunct/>
        <w:topLinePunct/>
        <w:autoSpaceDE w:val="0"/>
        <w:autoSpaceDN w:val="0"/>
        <w:bidi w:val="0"/>
        <w:adjustRightInd w:val="0"/>
        <w:snapToGrid w:val="0"/>
        <w:spacing w:line="360" w:lineRule="auto"/>
        <w:ind w:left="9" w:right="66" w:firstLine="48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13238128">
      <w:pPr>
        <w:keepNext w:val="0"/>
        <w:keepLines w:val="0"/>
        <w:pageBreakBefore w:val="0"/>
        <w:widowControl/>
        <w:kinsoku/>
        <w:wordWrap w:val="0"/>
        <w:overflowPunct/>
        <w:topLinePunct/>
        <w:autoSpaceDE w:val="0"/>
        <w:autoSpaceDN w:val="0"/>
        <w:bidi w:val="0"/>
        <w:adjustRightInd w:val="0"/>
        <w:snapToGrid w:val="0"/>
        <w:spacing w:line="360" w:lineRule="auto"/>
        <w:ind w:left="10" w:right="65" w:firstLine="490"/>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（4）拟派项目经理、项目技术负责人、专职安全员的条件不符合规定的；拟派专职安全员数量不符合规定的；项目技术负责人未在投标文件《项目技术负责人简历表》中签</w:t>
      </w:r>
      <w:r>
        <w:rPr>
          <w:rFonts w:hint="eastAsia" w:ascii="宋体" w:hAnsi="宋体" w:eastAsia="宋体" w:cs="宋体"/>
          <w:color w:val="auto"/>
          <w:spacing w:val="0"/>
          <w:sz w:val="24"/>
          <w:szCs w:val="24"/>
          <w:highlight w:val="none"/>
          <w:lang w:eastAsia="zh-CN"/>
        </w:rPr>
        <w:t>字确认。</w:t>
      </w:r>
    </w:p>
    <w:p w14:paraId="3CD9D783">
      <w:pPr>
        <w:keepNext w:val="0"/>
        <w:keepLines w:val="0"/>
        <w:pageBreakBefore w:val="0"/>
        <w:widowControl/>
        <w:kinsoku/>
        <w:wordWrap w:val="0"/>
        <w:overflowPunct/>
        <w:topLinePunct/>
        <w:autoSpaceDE w:val="0"/>
        <w:autoSpaceDN w:val="0"/>
        <w:bidi w:val="0"/>
        <w:adjustRightInd w:val="0"/>
        <w:snapToGrid w:val="0"/>
        <w:spacing w:line="360" w:lineRule="auto"/>
        <w:ind w:left="8" w:right="65" w:firstLine="492"/>
        <w:jc w:val="both"/>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温馨提示：建造师打印电子证书后，应在个人签名处手写本人签名，未手写签名或与签名图像笔迹不一致的，该电子证书无效。</w:t>
      </w:r>
    </w:p>
    <w:p w14:paraId="25ABDA63">
      <w:pPr>
        <w:keepNext w:val="0"/>
        <w:keepLines w:val="0"/>
        <w:pageBreakBefore w:val="0"/>
        <w:widowControl/>
        <w:kinsoku/>
        <w:wordWrap w:val="0"/>
        <w:overflowPunct/>
        <w:topLinePunct/>
        <w:autoSpaceDE w:val="0"/>
        <w:autoSpaceDN w:val="0"/>
        <w:bidi w:val="0"/>
        <w:adjustRightInd w:val="0"/>
        <w:snapToGrid w:val="0"/>
        <w:spacing w:line="360" w:lineRule="auto"/>
        <w:ind w:left="8" w:right="65" w:firstLine="49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w:t>
      </w:r>
      <w:r>
        <w:rPr>
          <w:rFonts w:hint="eastAsia" w:ascii="宋体" w:hAnsi="宋体" w:eastAsia="宋体" w:cs="宋体"/>
          <w:b/>
          <w:bCs/>
          <w:color w:val="auto"/>
          <w:spacing w:val="0"/>
          <w:sz w:val="24"/>
          <w:szCs w:val="24"/>
          <w:highlight w:val="none"/>
        </w:rPr>
        <w:t>建造师注册证书不在使用有效期内的</w:t>
      </w:r>
      <w:r>
        <w:rPr>
          <w:rFonts w:hint="eastAsia" w:ascii="宋体" w:hAnsi="宋体" w:eastAsia="宋体" w:cs="宋体"/>
          <w:color w:val="auto"/>
          <w:spacing w:val="0"/>
          <w:sz w:val="24"/>
          <w:szCs w:val="24"/>
          <w:highlight w:val="none"/>
        </w:rPr>
        <w:t>）；擅自修改、遗漏《项目经理任职声明》实质性内容的；</w:t>
      </w:r>
    </w:p>
    <w:p w14:paraId="16BDD5A7">
      <w:pPr>
        <w:keepNext w:val="0"/>
        <w:keepLines w:val="0"/>
        <w:pageBreakBefore w:val="0"/>
        <w:widowControl/>
        <w:kinsoku/>
        <w:wordWrap w:val="0"/>
        <w:overflowPunct/>
        <w:topLinePunct/>
        <w:autoSpaceDE w:val="0"/>
        <w:autoSpaceDN w:val="0"/>
        <w:bidi w:val="0"/>
        <w:adjustRightInd w:val="0"/>
        <w:snapToGrid w:val="0"/>
        <w:spacing w:line="360" w:lineRule="auto"/>
        <w:ind w:left="28" w:right="66" w:firstLine="462"/>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注：投标人已经工商变更，但其员工执业资格注册证书的注册单位名称未完成变更的，不得否决其投标。</w:t>
      </w:r>
    </w:p>
    <w:p w14:paraId="5ABD5029">
      <w:pPr>
        <w:keepNext w:val="0"/>
        <w:keepLines w:val="0"/>
        <w:pageBreakBefore w:val="0"/>
        <w:widowControl/>
        <w:kinsoku/>
        <w:wordWrap w:val="0"/>
        <w:overflowPunct/>
        <w:topLinePunct/>
        <w:autoSpaceDE w:val="0"/>
        <w:autoSpaceDN w:val="0"/>
        <w:bidi w:val="0"/>
        <w:adjustRightInd w:val="0"/>
        <w:snapToGrid w:val="0"/>
        <w:spacing w:line="360" w:lineRule="auto"/>
        <w:ind w:left="9" w:right="66" w:firstLine="480"/>
        <w:jc w:val="both"/>
        <w:textAlignment w:val="baseline"/>
        <w:rPr>
          <w:rFonts w:hint="eastAsia" w:ascii="宋体" w:hAnsi="宋体" w:eastAsia="宋体" w:cs="宋体"/>
          <w:b/>
          <w:bCs/>
          <w:color w:val="auto"/>
          <w:spacing w:val="0"/>
          <w:sz w:val="24"/>
          <w:szCs w:val="24"/>
          <w:highlight w:val="none"/>
        </w:rPr>
      </w:pPr>
      <w:bookmarkStart w:id="135" w:name="OLE_LINK27"/>
      <w:r>
        <w:rPr>
          <w:rFonts w:hint="eastAsia" w:ascii="宋体" w:hAnsi="宋体" w:eastAsia="宋体" w:cs="宋体"/>
          <w:b/>
          <w:bCs/>
          <w:color w:val="auto"/>
          <w:spacing w:val="0"/>
          <w:sz w:val="24"/>
          <w:szCs w:val="24"/>
          <w:highlight w:val="none"/>
        </w:rPr>
        <w:t>鉴于目前继续教育开展的实际情况，建筑和市政工程施工现场专业人员（例如：施</w:t>
      </w:r>
      <w:bookmarkStart w:id="136" w:name="bookmark139"/>
      <w:bookmarkEnd w:id="136"/>
      <w:r>
        <w:rPr>
          <w:rFonts w:hint="eastAsia" w:ascii="宋体" w:hAnsi="宋体" w:eastAsia="宋体" w:cs="宋体"/>
          <w:b/>
          <w:bCs/>
          <w:color w:val="auto"/>
          <w:spacing w:val="0"/>
          <w:sz w:val="24"/>
          <w:szCs w:val="24"/>
          <w:highlight w:val="none"/>
        </w:rPr>
        <w:t>工员、质量员、材料员、资料员）的岗位证书或培训证书不审查其证书的有效期。</w:t>
      </w:r>
      <w:bookmarkEnd w:id="135"/>
    </w:p>
    <w:p w14:paraId="376EE02D">
      <w:pPr>
        <w:keepNext w:val="0"/>
        <w:keepLines w:val="0"/>
        <w:pageBreakBefore w:val="0"/>
        <w:widowControl/>
        <w:kinsoku/>
        <w:wordWrap w:val="0"/>
        <w:overflowPunct/>
        <w:topLinePunct/>
        <w:autoSpaceDE w:val="0"/>
        <w:autoSpaceDN w:val="0"/>
        <w:bidi w:val="0"/>
        <w:adjustRightInd w:val="0"/>
        <w:snapToGrid w:val="0"/>
        <w:spacing w:line="360" w:lineRule="auto"/>
        <w:ind w:left="49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（6）招标文件规定不接受联合体投标，但以联合体投标的；</w:t>
      </w:r>
    </w:p>
    <w:p w14:paraId="6223360F">
      <w:pPr>
        <w:keepNext w:val="0"/>
        <w:keepLines w:val="0"/>
        <w:pageBreakBefore w:val="0"/>
        <w:widowControl/>
        <w:kinsoku/>
        <w:wordWrap w:val="0"/>
        <w:overflowPunct/>
        <w:topLinePunct/>
        <w:autoSpaceDE w:val="0"/>
        <w:autoSpaceDN w:val="0"/>
        <w:bidi w:val="0"/>
        <w:adjustRightInd w:val="0"/>
        <w:snapToGrid w:val="0"/>
        <w:spacing w:line="360" w:lineRule="auto"/>
        <w:ind w:left="8" w:right="65" w:firstLine="49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5E46D673">
      <w:pPr>
        <w:keepNext w:val="0"/>
        <w:keepLines w:val="0"/>
        <w:pageBreakBefore w:val="0"/>
        <w:widowControl/>
        <w:kinsoku/>
        <w:wordWrap w:val="0"/>
        <w:overflowPunct/>
        <w:topLinePunct/>
        <w:autoSpaceDE w:val="0"/>
        <w:autoSpaceDN w:val="0"/>
        <w:bidi w:val="0"/>
        <w:adjustRightInd w:val="0"/>
        <w:snapToGrid w:val="0"/>
        <w:spacing w:line="360" w:lineRule="auto"/>
        <w:ind w:left="8" w:right="65" w:firstLine="49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）投标人为外省建筑企业，但未提供“进粤企业和人员诚信信息登记平台 ”企业和拟派人员信息情况打印页或网页截图的。</w:t>
      </w:r>
    </w:p>
    <w:p w14:paraId="22C3D934">
      <w:pPr>
        <w:keepNext w:val="0"/>
        <w:keepLines w:val="0"/>
        <w:pageBreakBefore w:val="0"/>
        <w:widowControl/>
        <w:kinsoku/>
        <w:wordWrap w:val="0"/>
        <w:overflowPunct/>
        <w:topLinePunct/>
        <w:autoSpaceDE w:val="0"/>
        <w:autoSpaceDN w:val="0"/>
        <w:bidi w:val="0"/>
        <w:adjustRightInd w:val="0"/>
        <w:snapToGrid w:val="0"/>
        <w:spacing w:line="360" w:lineRule="auto"/>
        <w:ind w:left="477"/>
        <w:textAlignment w:val="baseline"/>
        <w:outlineLvl w:val="2"/>
        <w:rPr>
          <w:rFonts w:hint="eastAsia" w:ascii="宋体" w:hAnsi="宋体" w:eastAsia="宋体" w:cs="宋体"/>
          <w:color w:val="auto"/>
          <w:spacing w:val="0"/>
          <w:sz w:val="24"/>
          <w:szCs w:val="24"/>
          <w:highlight w:val="none"/>
        </w:rPr>
      </w:pPr>
      <w:bookmarkStart w:id="137" w:name="_Toc26339"/>
      <w:r>
        <w:rPr>
          <w:rFonts w:hint="eastAsia" w:ascii="宋体" w:hAnsi="宋体" w:eastAsia="宋体" w:cs="宋体"/>
          <w:b/>
          <w:bCs/>
          <w:color w:val="auto"/>
          <w:spacing w:val="0"/>
          <w:sz w:val="24"/>
          <w:szCs w:val="24"/>
          <w:highlight w:val="none"/>
        </w:rPr>
        <w:t>2 ．形式评审环节</w:t>
      </w:r>
      <w:bookmarkEnd w:id="137"/>
    </w:p>
    <w:p w14:paraId="254330C8">
      <w:pPr>
        <w:keepNext w:val="0"/>
        <w:keepLines w:val="0"/>
        <w:pageBreakBefore w:val="0"/>
        <w:widowControl/>
        <w:kinsoku/>
        <w:wordWrap w:val="0"/>
        <w:overflowPunct/>
        <w:topLinePunct/>
        <w:autoSpaceDE w:val="0"/>
        <w:autoSpaceDN w:val="0"/>
        <w:bidi w:val="0"/>
        <w:adjustRightInd w:val="0"/>
        <w:snapToGrid w:val="0"/>
        <w:spacing w:line="360" w:lineRule="auto"/>
        <w:ind w:right="200" w:firstLine="48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投标人有下列情形之一的，评标委员会应否决其投标。被否决的投标人，不进入响应性评审环节。</w:t>
      </w:r>
    </w:p>
    <w:p w14:paraId="7E77599F">
      <w:pPr>
        <w:keepNext w:val="0"/>
        <w:keepLines w:val="0"/>
        <w:pageBreakBefore w:val="0"/>
        <w:widowControl/>
        <w:kinsoku/>
        <w:wordWrap w:val="0"/>
        <w:overflowPunct/>
        <w:topLinePunct/>
        <w:autoSpaceDE w:val="0"/>
        <w:autoSpaceDN w:val="0"/>
        <w:bidi w:val="0"/>
        <w:adjustRightInd w:val="0"/>
        <w:snapToGrid w:val="0"/>
        <w:spacing w:line="360" w:lineRule="auto"/>
        <w:ind w:left="8" w:right="65" w:firstLine="49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（1）各分册没按招标文件规定加盖电子印章；</w:t>
      </w:r>
    </w:p>
    <w:p w14:paraId="79DF51D2">
      <w:pPr>
        <w:keepNext w:val="0"/>
        <w:keepLines w:val="0"/>
        <w:pageBreakBefore w:val="0"/>
        <w:widowControl/>
        <w:kinsoku/>
        <w:wordWrap w:val="0"/>
        <w:overflowPunct/>
        <w:topLinePunct/>
        <w:autoSpaceDE w:val="0"/>
        <w:autoSpaceDN w:val="0"/>
        <w:bidi w:val="0"/>
        <w:adjustRightInd w:val="0"/>
        <w:snapToGrid w:val="0"/>
        <w:spacing w:line="360" w:lineRule="auto"/>
        <w:ind w:left="8" w:right="65" w:firstLine="49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（2）本章第三节第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10.3.2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10.4.3</w:t>
      </w:r>
      <w:r>
        <w:rPr>
          <w:rFonts w:hint="eastAsia" w:ascii="宋体" w:hAnsi="宋体" w:eastAsia="宋体" w:cs="宋体"/>
          <w:color w:val="auto"/>
          <w:spacing w:val="0"/>
          <w:sz w:val="24"/>
          <w:szCs w:val="24"/>
          <w:highlight w:val="none"/>
        </w:rPr>
        <w:t xml:space="preserve"> 目中规定的“所有投标人均应提供 ”的组成内容（包括该组成内容的所附资料）中，任何一项有缺漏的；</w:t>
      </w:r>
    </w:p>
    <w:p w14:paraId="48F2452D">
      <w:pPr>
        <w:keepNext w:val="0"/>
        <w:keepLines w:val="0"/>
        <w:pageBreakBefore w:val="0"/>
        <w:widowControl/>
        <w:kinsoku/>
        <w:wordWrap w:val="0"/>
        <w:overflowPunct/>
        <w:topLinePunct/>
        <w:autoSpaceDE w:val="0"/>
        <w:autoSpaceDN w:val="0"/>
        <w:bidi w:val="0"/>
        <w:adjustRightInd w:val="0"/>
        <w:snapToGrid w:val="0"/>
        <w:spacing w:line="360" w:lineRule="auto"/>
        <w:ind w:left="8" w:right="65" w:firstLine="49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702C11DE">
      <w:pPr>
        <w:keepNext w:val="0"/>
        <w:keepLines w:val="0"/>
        <w:pageBreakBefore w:val="0"/>
        <w:widowControl/>
        <w:kinsoku/>
        <w:wordWrap w:val="0"/>
        <w:overflowPunct/>
        <w:topLinePunct/>
        <w:autoSpaceDE w:val="0"/>
        <w:autoSpaceDN w:val="0"/>
        <w:bidi w:val="0"/>
        <w:adjustRightInd w:val="0"/>
        <w:snapToGrid w:val="0"/>
        <w:spacing w:line="360" w:lineRule="auto"/>
        <w:ind w:left="8" w:right="65" w:firstLine="49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（4）投标文件未按规定签字、盖章的。</w:t>
      </w:r>
    </w:p>
    <w:p w14:paraId="6B5DD548">
      <w:pPr>
        <w:keepNext w:val="0"/>
        <w:keepLines w:val="0"/>
        <w:pageBreakBefore w:val="0"/>
        <w:widowControl/>
        <w:kinsoku/>
        <w:wordWrap w:val="0"/>
        <w:overflowPunct/>
        <w:topLinePunct/>
        <w:autoSpaceDE w:val="0"/>
        <w:autoSpaceDN w:val="0"/>
        <w:bidi w:val="0"/>
        <w:adjustRightInd w:val="0"/>
        <w:snapToGrid w:val="0"/>
        <w:spacing w:line="360" w:lineRule="auto"/>
        <w:ind w:left="8" w:right="65" w:firstLine="492"/>
        <w:jc w:val="both"/>
        <w:textAlignment w:val="baseline"/>
        <w:rPr>
          <w:rFonts w:hint="eastAsia" w:ascii="宋体" w:hAnsi="宋体" w:eastAsia="宋体" w:cs="宋体"/>
          <w:color w:val="auto"/>
          <w:spacing w:val="0"/>
          <w:sz w:val="24"/>
          <w:szCs w:val="24"/>
          <w:highlight w:val="none"/>
        </w:rPr>
      </w:pPr>
    </w:p>
    <w:p w14:paraId="50328A9E">
      <w:pPr>
        <w:keepNext w:val="0"/>
        <w:keepLines w:val="0"/>
        <w:pageBreakBefore w:val="0"/>
        <w:widowControl/>
        <w:kinsoku/>
        <w:wordWrap w:val="0"/>
        <w:overflowPunct/>
        <w:topLinePunct/>
        <w:autoSpaceDE w:val="0"/>
        <w:autoSpaceDN w:val="0"/>
        <w:bidi w:val="0"/>
        <w:adjustRightInd w:val="0"/>
        <w:snapToGrid w:val="0"/>
        <w:spacing w:line="360" w:lineRule="auto"/>
        <w:ind w:left="475"/>
        <w:textAlignment w:val="baseline"/>
        <w:outlineLvl w:val="2"/>
        <w:rPr>
          <w:rFonts w:hint="eastAsia" w:ascii="宋体" w:hAnsi="宋体" w:eastAsia="宋体" w:cs="宋体"/>
          <w:color w:val="auto"/>
          <w:spacing w:val="0"/>
          <w:sz w:val="24"/>
          <w:szCs w:val="24"/>
          <w:highlight w:val="none"/>
        </w:rPr>
      </w:pPr>
      <w:bookmarkStart w:id="138" w:name="_Toc21910"/>
      <w:r>
        <w:rPr>
          <w:rFonts w:hint="eastAsia" w:ascii="宋体" w:hAnsi="宋体" w:eastAsia="宋体" w:cs="宋体"/>
          <w:b/>
          <w:bCs/>
          <w:color w:val="auto"/>
          <w:spacing w:val="0"/>
          <w:sz w:val="24"/>
          <w:szCs w:val="24"/>
          <w:highlight w:val="none"/>
        </w:rPr>
        <w:t>3 ．响应性评审环节</w:t>
      </w:r>
      <w:bookmarkEnd w:id="138"/>
    </w:p>
    <w:p w14:paraId="2EE139DE">
      <w:pPr>
        <w:keepNext w:val="0"/>
        <w:keepLines w:val="0"/>
        <w:pageBreakBefore w:val="0"/>
        <w:widowControl/>
        <w:kinsoku/>
        <w:wordWrap w:val="0"/>
        <w:overflowPunct/>
        <w:topLinePunct/>
        <w:autoSpaceDE w:val="0"/>
        <w:autoSpaceDN w:val="0"/>
        <w:bidi w:val="0"/>
        <w:adjustRightInd w:val="0"/>
        <w:snapToGrid w:val="0"/>
        <w:spacing w:line="360" w:lineRule="auto"/>
        <w:ind w:left="1" w:right="200" w:firstLine="481"/>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投标人有下列情形之一的，评标委员会应否决其投标。被否决的投标人，不进入详细评审阶段。</w:t>
      </w:r>
    </w:p>
    <w:p w14:paraId="4247765C">
      <w:pPr>
        <w:keepNext w:val="0"/>
        <w:keepLines w:val="0"/>
        <w:pageBreakBefore w:val="0"/>
        <w:widowControl/>
        <w:kinsoku/>
        <w:wordWrap w:val="0"/>
        <w:overflowPunct/>
        <w:topLinePunct/>
        <w:autoSpaceDE w:val="0"/>
        <w:autoSpaceDN w:val="0"/>
        <w:bidi w:val="0"/>
        <w:adjustRightInd w:val="0"/>
        <w:snapToGrid w:val="0"/>
        <w:spacing w:line="360" w:lineRule="auto"/>
        <w:ind w:left="8" w:right="65" w:firstLine="49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（1）承诺的投标有效期短于规定的；质量标准低于规定的；工期超出规定的；擅自修改、遗漏《投标函》《各项承诺一览表》实质性内容的；</w:t>
      </w:r>
    </w:p>
    <w:p w14:paraId="6F529F0D">
      <w:pPr>
        <w:keepNext w:val="0"/>
        <w:keepLines w:val="0"/>
        <w:pageBreakBefore w:val="0"/>
        <w:widowControl/>
        <w:kinsoku/>
        <w:wordWrap w:val="0"/>
        <w:overflowPunct/>
        <w:topLinePunct/>
        <w:autoSpaceDE w:val="0"/>
        <w:autoSpaceDN w:val="0"/>
        <w:bidi w:val="0"/>
        <w:adjustRightInd w:val="0"/>
        <w:snapToGrid w:val="0"/>
        <w:spacing w:line="360" w:lineRule="auto"/>
        <w:ind w:left="8" w:right="65" w:firstLine="49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（2）编制《投标总价》的造价工程师，其注册证书不是</w:t>
      </w:r>
      <w:r>
        <w:rPr>
          <w:rFonts w:hint="eastAsia" w:ascii="宋体" w:hAnsi="宋体" w:eastAsia="宋体" w:cs="宋体"/>
          <w:b/>
          <w:bCs/>
          <w:color w:val="auto"/>
          <w:spacing w:val="0"/>
          <w:sz w:val="24"/>
          <w:szCs w:val="24"/>
          <w:highlight w:val="none"/>
        </w:rPr>
        <w:t>住建部门</w:t>
      </w:r>
      <w:r>
        <w:rPr>
          <w:rFonts w:hint="eastAsia" w:ascii="宋体" w:hAnsi="宋体" w:eastAsia="宋体" w:cs="宋体"/>
          <w:color w:val="auto"/>
          <w:spacing w:val="0"/>
          <w:sz w:val="24"/>
          <w:szCs w:val="24"/>
          <w:highlight w:val="none"/>
        </w:rPr>
        <w:t>颁发的；其注册单位与投标人（或造价咨询人）不一致的；其注册证书不在有效期内的。</w:t>
      </w:r>
    </w:p>
    <w:p w14:paraId="0781CFB3">
      <w:pPr>
        <w:keepNext w:val="0"/>
        <w:keepLines w:val="0"/>
        <w:pageBreakBefore w:val="0"/>
        <w:widowControl/>
        <w:kinsoku/>
        <w:wordWrap w:val="0"/>
        <w:overflowPunct/>
        <w:topLinePunct/>
        <w:autoSpaceDE w:val="0"/>
        <w:autoSpaceDN w:val="0"/>
        <w:bidi w:val="0"/>
        <w:adjustRightInd w:val="0"/>
        <w:snapToGrid w:val="0"/>
        <w:spacing w:line="360" w:lineRule="auto"/>
        <w:ind w:right="200" w:firstLine="480"/>
        <w:jc w:val="both"/>
        <w:textAlignment w:val="baseline"/>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注：投标人（或造价咨询人）已经工商变更，但其员工的执业资格注册证书的注册单位名称未完成变更的，不得否决其投标。</w:t>
      </w:r>
    </w:p>
    <w:p w14:paraId="29E730FE">
      <w:pPr>
        <w:keepNext w:val="0"/>
        <w:keepLines w:val="0"/>
        <w:pageBreakBefore w:val="0"/>
        <w:widowControl/>
        <w:kinsoku/>
        <w:wordWrap w:val="0"/>
        <w:overflowPunct/>
        <w:topLinePunct/>
        <w:autoSpaceDE w:val="0"/>
        <w:autoSpaceDN w:val="0"/>
        <w:bidi w:val="0"/>
        <w:adjustRightInd w:val="0"/>
        <w:snapToGrid w:val="0"/>
        <w:spacing w:line="360" w:lineRule="auto"/>
        <w:ind w:left="2" w:right="81"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（3）投标人委托造价咨询单位编制《投标总价》，但未在《投标总价扉页》（即扉—3）“投标人 ”栏目加盖造价咨询人公章的；未提供造价咨询人的营业执照副本彩色扫描件；</w:t>
      </w:r>
    </w:p>
    <w:p w14:paraId="177F4AE3">
      <w:pPr>
        <w:keepNext w:val="0"/>
        <w:keepLines w:val="0"/>
        <w:pageBreakBefore w:val="0"/>
        <w:widowControl/>
        <w:kinsoku/>
        <w:wordWrap w:val="0"/>
        <w:overflowPunct/>
        <w:topLinePunct/>
        <w:autoSpaceDE w:val="0"/>
        <w:autoSpaceDN w:val="0"/>
        <w:bidi w:val="0"/>
        <w:adjustRightInd w:val="0"/>
        <w:snapToGrid w:val="0"/>
        <w:spacing w:line="360" w:lineRule="auto"/>
        <w:ind w:right="21" w:firstLine="49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（4）出现两个或两个以上投标总价的（同一个投标总价大、小写不一致的除外）； 投标总价超出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w:t>
      </w:r>
      <w:r>
        <w:rPr>
          <w:rFonts w:hint="eastAsia" w:ascii="宋体" w:hAnsi="宋体" w:eastAsia="宋体" w:cs="宋体"/>
          <w:color w:val="auto"/>
          <w:spacing w:val="0"/>
          <w:sz w:val="24"/>
          <w:szCs w:val="24"/>
          <w:highlight w:val="none"/>
          <w:lang w:val="en-US" w:eastAsia="zh-CN"/>
        </w:rPr>
        <w:t>安全生产</w:t>
      </w:r>
      <w:r>
        <w:rPr>
          <w:rFonts w:hint="eastAsia" w:ascii="宋体" w:hAnsi="宋体" w:eastAsia="宋体" w:cs="宋体"/>
          <w:color w:val="auto"/>
          <w:spacing w:val="0"/>
          <w:sz w:val="24"/>
          <w:szCs w:val="24"/>
          <w:highlight w:val="none"/>
          <w:lang w:eastAsia="zh-CN"/>
        </w:rPr>
        <w:t>措施费</w:t>
      </w:r>
      <w:r>
        <w:rPr>
          <w:rFonts w:hint="eastAsia" w:ascii="宋体" w:hAnsi="宋体" w:eastAsia="宋体" w:cs="宋体"/>
          <w:color w:val="auto"/>
          <w:spacing w:val="0"/>
          <w:sz w:val="24"/>
          <w:szCs w:val="24"/>
          <w:highlight w:val="none"/>
        </w:rPr>
        <w:t>少于规定的；暂列金额</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暂估价</w:t>
      </w:r>
      <w:r>
        <w:rPr>
          <w:rFonts w:hint="eastAsia" w:ascii="宋体" w:hAnsi="宋体" w:eastAsia="宋体" w:cs="宋体"/>
          <w:color w:val="auto"/>
          <w:spacing w:val="0"/>
          <w:sz w:val="24"/>
          <w:szCs w:val="24"/>
          <w:highlight w:val="none"/>
        </w:rPr>
        <w:t>未按照招标工程量清单统一报价的；投标总价下浮率超过 15%，又未提供相应书面说明和佐证材料或提供的书面说明和佐证材料不能令人信服，被评标委员会认定以低于成本报价竞标的；擅自修改、增减招标工程量清单项目（包括措施项目）的；</w:t>
      </w:r>
    </w:p>
    <w:p w14:paraId="7F466A24">
      <w:pPr>
        <w:keepNext w:val="0"/>
        <w:keepLines w:val="0"/>
        <w:pageBreakBefore w:val="0"/>
        <w:widowControl/>
        <w:kinsoku/>
        <w:wordWrap w:val="0"/>
        <w:overflowPunct/>
        <w:topLinePunct/>
        <w:autoSpaceDE w:val="0"/>
        <w:autoSpaceDN w:val="0"/>
        <w:bidi w:val="0"/>
        <w:adjustRightInd w:val="0"/>
        <w:snapToGrid w:val="0"/>
        <w:spacing w:line="360" w:lineRule="auto"/>
        <w:ind w:right="81" w:firstLine="49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（5）在施工组织设计评审中，评标委员会认定质量、进度保障措施与国家和省市现行有关规范、规定、标准有重大偏差，</w:t>
      </w:r>
      <w:r>
        <w:rPr>
          <w:rFonts w:hint="eastAsia" w:ascii="宋体" w:hAnsi="宋体" w:eastAsia="宋体" w:cs="宋体"/>
          <w:b/>
          <w:bCs/>
          <w:color w:val="auto"/>
          <w:spacing w:val="0"/>
          <w:sz w:val="24"/>
          <w:szCs w:val="24"/>
          <w:highlight w:val="none"/>
        </w:rPr>
        <w:t>且该种过错将导致工程质量、进度管理目标无法实现的</w:t>
      </w:r>
      <w:r>
        <w:rPr>
          <w:rFonts w:hint="eastAsia" w:ascii="宋体" w:hAnsi="宋体" w:eastAsia="宋体" w:cs="宋体"/>
          <w:color w:val="auto"/>
          <w:spacing w:val="0"/>
          <w:sz w:val="24"/>
          <w:szCs w:val="24"/>
          <w:highlight w:val="none"/>
        </w:rPr>
        <w:t>。</w:t>
      </w:r>
    </w:p>
    <w:p w14:paraId="005A9238">
      <w:pPr>
        <w:keepNext w:val="0"/>
        <w:keepLines w:val="0"/>
        <w:pageBreakBefore w:val="0"/>
        <w:widowControl/>
        <w:kinsoku/>
        <w:wordWrap w:val="0"/>
        <w:overflowPunct/>
        <w:topLinePunct/>
        <w:autoSpaceDE w:val="0"/>
        <w:autoSpaceDN w:val="0"/>
        <w:bidi w:val="0"/>
        <w:adjustRightInd w:val="0"/>
        <w:snapToGrid w:val="0"/>
        <w:spacing w:line="360" w:lineRule="auto"/>
        <w:ind w:left="476"/>
        <w:textAlignment w:val="baseline"/>
        <w:outlineLvl w:val="2"/>
        <w:rPr>
          <w:rFonts w:hint="eastAsia" w:ascii="宋体" w:hAnsi="宋体" w:eastAsia="宋体" w:cs="宋体"/>
          <w:color w:val="auto"/>
          <w:spacing w:val="0"/>
          <w:sz w:val="24"/>
          <w:szCs w:val="24"/>
          <w:highlight w:val="none"/>
        </w:rPr>
      </w:pPr>
      <w:bookmarkStart w:id="139" w:name="_Toc22476"/>
      <w:r>
        <w:rPr>
          <w:rFonts w:hint="eastAsia" w:ascii="宋体" w:hAnsi="宋体" w:eastAsia="宋体" w:cs="宋体"/>
          <w:b/>
          <w:bCs/>
          <w:color w:val="auto"/>
          <w:spacing w:val="0"/>
          <w:sz w:val="24"/>
          <w:szCs w:val="24"/>
          <w:highlight w:val="none"/>
        </w:rPr>
        <w:t>4 ．其他</w:t>
      </w:r>
      <w:bookmarkEnd w:id="139"/>
    </w:p>
    <w:p w14:paraId="5F6D61C8">
      <w:pPr>
        <w:keepNext w:val="0"/>
        <w:keepLines w:val="0"/>
        <w:pageBreakBefore w:val="0"/>
        <w:widowControl/>
        <w:kinsoku/>
        <w:wordWrap w:val="0"/>
        <w:overflowPunct/>
        <w:topLinePunct/>
        <w:autoSpaceDE w:val="0"/>
        <w:autoSpaceDN w:val="0"/>
        <w:bidi w:val="0"/>
        <w:adjustRightInd w:val="0"/>
        <w:snapToGrid w:val="0"/>
        <w:spacing w:line="360" w:lineRule="auto"/>
        <w:ind w:right="21" w:firstLine="49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在任何评标环节（或阶段），投标人有下列情形之一的，评标委员会应否决其投标。 被否决的投标人，不进入下一环节（或阶段）。</w:t>
      </w:r>
    </w:p>
    <w:p w14:paraId="4ED285A3">
      <w:pPr>
        <w:keepNext w:val="0"/>
        <w:keepLines w:val="0"/>
        <w:pageBreakBefore w:val="0"/>
        <w:widowControl/>
        <w:kinsoku/>
        <w:wordWrap w:val="0"/>
        <w:overflowPunct/>
        <w:topLinePunct/>
        <w:autoSpaceDE w:val="0"/>
        <w:autoSpaceDN w:val="0"/>
        <w:bidi w:val="0"/>
        <w:adjustRightInd w:val="0"/>
        <w:snapToGrid w:val="0"/>
        <w:spacing w:line="360" w:lineRule="auto"/>
        <w:ind w:right="21" w:firstLine="49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（1）不按评标委员会要求澄清、说明或补正的；</w:t>
      </w:r>
    </w:p>
    <w:p w14:paraId="606834D4">
      <w:pPr>
        <w:keepNext w:val="0"/>
        <w:keepLines w:val="0"/>
        <w:pageBreakBefore w:val="0"/>
        <w:widowControl/>
        <w:kinsoku/>
        <w:wordWrap w:val="0"/>
        <w:overflowPunct/>
        <w:topLinePunct/>
        <w:autoSpaceDE w:val="0"/>
        <w:autoSpaceDN w:val="0"/>
        <w:bidi w:val="0"/>
        <w:adjustRightInd w:val="0"/>
        <w:snapToGrid w:val="0"/>
        <w:spacing w:line="360" w:lineRule="auto"/>
        <w:ind w:right="21" w:firstLine="49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（2）有下列情形之一，被评标委员会认定属于串通投标的：</w:t>
      </w:r>
    </w:p>
    <w:p w14:paraId="1B96946B">
      <w:pPr>
        <w:keepNext w:val="0"/>
        <w:keepLines w:val="0"/>
        <w:pageBreakBefore w:val="0"/>
        <w:widowControl/>
        <w:kinsoku/>
        <w:wordWrap w:val="0"/>
        <w:overflowPunct/>
        <w:topLinePunct/>
        <w:autoSpaceDE w:val="0"/>
        <w:autoSpaceDN w:val="0"/>
        <w:bidi w:val="0"/>
        <w:adjustRightInd w:val="0"/>
        <w:snapToGrid w:val="0"/>
        <w:spacing w:line="360" w:lineRule="auto"/>
        <w:ind w:right="21" w:firstLine="49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①不同投标人的投标文件两处以上（含两处）错、漏一致；</w:t>
      </w:r>
    </w:p>
    <w:p w14:paraId="3941F024">
      <w:pPr>
        <w:keepNext w:val="0"/>
        <w:keepLines w:val="0"/>
        <w:pageBreakBefore w:val="0"/>
        <w:widowControl/>
        <w:kinsoku/>
        <w:wordWrap w:val="0"/>
        <w:overflowPunct/>
        <w:topLinePunct/>
        <w:autoSpaceDE w:val="0"/>
        <w:autoSpaceDN w:val="0"/>
        <w:bidi w:val="0"/>
        <w:adjustRightInd w:val="0"/>
        <w:snapToGrid w:val="0"/>
        <w:spacing w:line="360" w:lineRule="auto"/>
        <w:ind w:right="21" w:firstLine="49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4EE76EEB">
      <w:pPr>
        <w:keepNext w:val="0"/>
        <w:keepLines w:val="0"/>
        <w:pageBreakBefore w:val="0"/>
        <w:widowControl/>
        <w:kinsoku/>
        <w:wordWrap w:val="0"/>
        <w:overflowPunct/>
        <w:topLinePunct/>
        <w:autoSpaceDE w:val="0"/>
        <w:autoSpaceDN w:val="0"/>
        <w:bidi w:val="0"/>
        <w:adjustRightInd w:val="0"/>
        <w:snapToGrid w:val="0"/>
        <w:spacing w:line="360" w:lineRule="auto"/>
        <w:ind w:right="21" w:firstLine="49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③不同投标人的投标各项报价存在异常一致或者呈规律性变化；</w:t>
      </w:r>
    </w:p>
    <w:p w14:paraId="31BC0C5C">
      <w:pPr>
        <w:keepNext w:val="0"/>
        <w:keepLines w:val="0"/>
        <w:pageBreakBefore w:val="0"/>
        <w:widowControl/>
        <w:kinsoku/>
        <w:wordWrap w:val="0"/>
        <w:overflowPunct/>
        <w:topLinePunct/>
        <w:autoSpaceDE w:val="0"/>
        <w:autoSpaceDN w:val="0"/>
        <w:bidi w:val="0"/>
        <w:adjustRightInd w:val="0"/>
        <w:snapToGrid w:val="0"/>
        <w:spacing w:line="360" w:lineRule="auto"/>
        <w:ind w:right="21" w:firstLine="49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④不同投标人的投标文件由同一单位或者同一个人编制；</w:t>
      </w:r>
    </w:p>
    <w:p w14:paraId="47497CF9">
      <w:pPr>
        <w:keepNext w:val="0"/>
        <w:keepLines w:val="0"/>
        <w:pageBreakBefore w:val="0"/>
        <w:widowControl/>
        <w:kinsoku/>
        <w:wordWrap w:val="0"/>
        <w:overflowPunct/>
        <w:topLinePunct/>
        <w:autoSpaceDE w:val="0"/>
        <w:autoSpaceDN w:val="0"/>
        <w:bidi w:val="0"/>
        <w:adjustRightInd w:val="0"/>
        <w:snapToGrid w:val="0"/>
        <w:spacing w:line="360" w:lineRule="auto"/>
        <w:ind w:right="21" w:firstLine="49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⑤不同投标人的投标文件中投标资料（包括电子资料）相互混装或项目班子成员出现同一人；</w:t>
      </w:r>
    </w:p>
    <w:p w14:paraId="46136D16">
      <w:pPr>
        <w:keepNext w:val="0"/>
        <w:keepLines w:val="0"/>
        <w:pageBreakBefore w:val="0"/>
        <w:widowControl/>
        <w:kinsoku/>
        <w:wordWrap w:val="0"/>
        <w:overflowPunct/>
        <w:topLinePunct/>
        <w:autoSpaceDE w:val="0"/>
        <w:autoSpaceDN w:val="0"/>
        <w:bidi w:val="0"/>
        <w:adjustRightInd w:val="0"/>
        <w:snapToGrid w:val="0"/>
        <w:spacing w:line="360" w:lineRule="auto"/>
        <w:ind w:right="21" w:firstLine="49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⑥不同投标人的投标文件由同一电脑编制或同一台附属设备打印，或投标报价用同一个预算编制软件密码锁制作或出自同一电子文档；</w:t>
      </w:r>
    </w:p>
    <w:p w14:paraId="3AA09E29">
      <w:pPr>
        <w:keepNext w:val="0"/>
        <w:keepLines w:val="0"/>
        <w:pageBreakBefore w:val="0"/>
        <w:widowControl/>
        <w:kinsoku/>
        <w:wordWrap w:val="0"/>
        <w:overflowPunct/>
        <w:topLinePunct/>
        <w:autoSpaceDE w:val="0"/>
        <w:autoSpaceDN w:val="0"/>
        <w:bidi w:val="0"/>
        <w:adjustRightInd w:val="0"/>
        <w:snapToGrid w:val="0"/>
        <w:spacing w:line="360" w:lineRule="auto"/>
        <w:ind w:right="21" w:firstLine="49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⑦不同投标人的投标保证由同一企业或同一账户资金缴纳；</w:t>
      </w:r>
    </w:p>
    <w:p w14:paraId="2DDE0D5C">
      <w:pPr>
        <w:keepNext w:val="0"/>
        <w:keepLines w:val="0"/>
        <w:pageBreakBefore w:val="0"/>
        <w:widowControl/>
        <w:kinsoku/>
        <w:wordWrap w:val="0"/>
        <w:overflowPunct/>
        <w:topLinePunct/>
        <w:autoSpaceDE w:val="0"/>
        <w:autoSpaceDN w:val="0"/>
        <w:bidi w:val="0"/>
        <w:adjustRightInd w:val="0"/>
        <w:snapToGrid w:val="0"/>
        <w:spacing w:line="360" w:lineRule="auto"/>
        <w:ind w:right="21" w:firstLine="49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42ADF199">
      <w:pPr>
        <w:pStyle w:val="26"/>
        <w:keepNext w:val="0"/>
        <w:keepLines w:val="0"/>
        <w:pageBreakBefore w:val="0"/>
        <w:kinsoku/>
        <w:wordWrap w:val="0"/>
        <w:overflowPunct/>
        <w:topLinePunct/>
        <w:bidi w:val="0"/>
        <w:rPr>
          <w:rFonts w:hint="eastAsia" w:ascii="宋体" w:hAnsi="宋体" w:eastAsia="宋体" w:cs="宋体"/>
          <w:color w:val="auto"/>
          <w:spacing w:val="0"/>
          <w:highlight w:val="none"/>
        </w:rPr>
      </w:pPr>
    </w:p>
    <w:p w14:paraId="07D96E5C">
      <w:pPr>
        <w:keepNext w:val="0"/>
        <w:keepLines w:val="0"/>
        <w:pageBreakBefore w:val="0"/>
        <w:kinsoku/>
        <w:wordWrap w:val="0"/>
        <w:overflowPunct/>
        <w:topLinePunct/>
        <w:bidi w:val="0"/>
        <w:spacing w:line="299" w:lineRule="auto"/>
        <w:rPr>
          <w:rFonts w:hint="eastAsia" w:ascii="宋体" w:hAnsi="宋体" w:eastAsia="宋体" w:cs="宋体"/>
          <w:color w:val="auto"/>
          <w:spacing w:val="0"/>
          <w:sz w:val="24"/>
          <w:szCs w:val="24"/>
          <w:highlight w:val="none"/>
        </w:rPr>
        <w:sectPr>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761D9212">
      <w:pPr>
        <w:keepNext w:val="0"/>
        <w:keepLines w:val="0"/>
        <w:pageBreakBefore w:val="0"/>
        <w:kinsoku/>
        <w:wordWrap w:val="0"/>
        <w:overflowPunct/>
        <w:topLinePunct/>
        <w:bidi w:val="0"/>
        <w:spacing w:before="78" w:line="219" w:lineRule="auto"/>
        <w:ind w:left="3525"/>
        <w:outlineLvl w:val="0"/>
        <w:rPr>
          <w:rFonts w:hint="eastAsia" w:ascii="宋体" w:hAnsi="宋体" w:eastAsia="宋体" w:cs="宋体"/>
          <w:color w:val="auto"/>
          <w:spacing w:val="0"/>
          <w:sz w:val="28"/>
          <w:szCs w:val="28"/>
          <w:highlight w:val="none"/>
        </w:rPr>
      </w:pPr>
      <w:bookmarkStart w:id="140" w:name="bookmark57"/>
      <w:bookmarkEnd w:id="140"/>
      <w:bookmarkStart w:id="141" w:name="_Toc28520"/>
      <w:r>
        <w:rPr>
          <w:rFonts w:hint="eastAsia" w:ascii="宋体" w:hAnsi="宋体" w:eastAsia="宋体" w:cs="宋体"/>
          <w:b/>
          <w:bCs/>
          <w:color w:val="auto"/>
          <w:spacing w:val="0"/>
          <w:sz w:val="28"/>
          <w:szCs w:val="28"/>
          <w:highlight w:val="none"/>
        </w:rPr>
        <w:t>第二章</w:t>
      </w:r>
      <w:r>
        <w:rPr>
          <w:rFonts w:hint="eastAsia" w:ascii="宋体" w:hAnsi="宋体" w:eastAsia="宋体" w:cs="宋体"/>
          <w:color w:val="auto"/>
          <w:spacing w:val="0"/>
          <w:sz w:val="28"/>
          <w:szCs w:val="28"/>
          <w:highlight w:val="none"/>
        </w:rPr>
        <w:t xml:space="preserve"> </w:t>
      </w:r>
      <w:r>
        <w:rPr>
          <w:rFonts w:hint="eastAsia" w:ascii="宋体" w:hAnsi="宋体" w:eastAsia="宋体" w:cs="宋体"/>
          <w:b/>
          <w:bCs/>
          <w:color w:val="auto"/>
          <w:spacing w:val="0"/>
          <w:sz w:val="28"/>
          <w:szCs w:val="28"/>
          <w:highlight w:val="none"/>
        </w:rPr>
        <w:t>中标人须知</w:t>
      </w:r>
      <w:bookmarkEnd w:id="141"/>
    </w:p>
    <w:p w14:paraId="573DCDCD">
      <w:pPr>
        <w:keepNext w:val="0"/>
        <w:keepLines w:val="0"/>
        <w:pageBreakBefore w:val="0"/>
        <w:kinsoku/>
        <w:wordWrap w:val="0"/>
        <w:overflowPunct/>
        <w:topLinePunct/>
        <w:bidi w:val="0"/>
        <w:spacing w:before="78" w:line="219" w:lineRule="auto"/>
        <w:ind w:left="582"/>
        <w:outlineLvl w:val="2"/>
        <w:rPr>
          <w:rFonts w:hint="eastAsia" w:ascii="宋体" w:hAnsi="宋体" w:eastAsia="宋体" w:cs="宋体"/>
          <w:b/>
          <w:bCs/>
          <w:color w:val="auto"/>
          <w:spacing w:val="0"/>
          <w:sz w:val="24"/>
          <w:szCs w:val="24"/>
          <w:highlight w:val="none"/>
        </w:rPr>
      </w:pPr>
    </w:p>
    <w:p w14:paraId="6F9BD6F3">
      <w:pPr>
        <w:keepNext w:val="0"/>
        <w:keepLines w:val="0"/>
        <w:pageBreakBefore w:val="0"/>
        <w:widowControl/>
        <w:kinsoku/>
        <w:wordWrap w:val="0"/>
        <w:overflowPunct/>
        <w:topLinePunct/>
        <w:autoSpaceDE w:val="0"/>
        <w:autoSpaceDN w:val="0"/>
        <w:bidi w:val="0"/>
        <w:adjustRightInd w:val="0"/>
        <w:snapToGrid w:val="0"/>
        <w:spacing w:line="360" w:lineRule="auto"/>
        <w:ind w:left="582"/>
        <w:textAlignment w:val="baseline"/>
        <w:outlineLvl w:val="2"/>
        <w:rPr>
          <w:rFonts w:hint="eastAsia" w:ascii="宋体" w:hAnsi="宋体" w:eastAsia="宋体" w:cs="宋体"/>
          <w:color w:val="auto"/>
          <w:spacing w:val="0"/>
          <w:sz w:val="24"/>
          <w:szCs w:val="24"/>
          <w:highlight w:val="none"/>
        </w:rPr>
      </w:pPr>
      <w:bookmarkStart w:id="142" w:name="_Toc29259"/>
      <w:r>
        <w:rPr>
          <w:rFonts w:hint="eastAsia" w:ascii="宋体" w:hAnsi="宋体" w:eastAsia="宋体" w:cs="宋体"/>
          <w:b/>
          <w:bCs/>
          <w:color w:val="auto"/>
          <w:spacing w:val="0"/>
          <w:sz w:val="24"/>
          <w:szCs w:val="24"/>
          <w:highlight w:val="none"/>
        </w:rPr>
        <w:t>1 ．中标通知书</w:t>
      </w:r>
      <w:bookmarkEnd w:id="142"/>
    </w:p>
    <w:p w14:paraId="1DF04C6E">
      <w:pPr>
        <w:keepNext w:val="0"/>
        <w:keepLines w:val="0"/>
        <w:pageBreakBefore w:val="0"/>
        <w:widowControl/>
        <w:kinsoku/>
        <w:wordWrap w:val="0"/>
        <w:overflowPunct/>
        <w:topLinePunct/>
        <w:autoSpaceDE w:val="0"/>
        <w:autoSpaceDN w:val="0"/>
        <w:bidi w:val="0"/>
        <w:adjustRightInd w:val="0"/>
        <w:snapToGrid w:val="0"/>
        <w:spacing w:line="360" w:lineRule="auto"/>
        <w:ind w:left="17" w:firstLine="559"/>
        <w:jc w:val="both"/>
        <w:textAlignment w:val="baseline"/>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招标人确定中标人</w:t>
      </w:r>
      <w:r>
        <w:rPr>
          <w:rFonts w:hint="eastAsia" w:ascii="宋体" w:hAnsi="宋体" w:eastAsia="宋体" w:cs="宋体"/>
          <w:color w:val="auto"/>
          <w:spacing w:val="0"/>
          <w:sz w:val="24"/>
          <w:szCs w:val="24"/>
          <w:highlight w:val="none"/>
          <w:lang w:val="en-US" w:eastAsia="zh-CN"/>
        </w:rPr>
        <w:t>之日起</w:t>
      </w:r>
      <w:r>
        <w:rPr>
          <w:rFonts w:hint="eastAsia" w:ascii="宋体" w:hAnsi="宋体" w:eastAsia="宋体" w:cs="宋体"/>
          <w:color w:val="auto"/>
          <w:spacing w:val="0"/>
          <w:sz w:val="24"/>
          <w:szCs w:val="24"/>
          <w:highlight w:val="none"/>
        </w:rPr>
        <w:t>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67463C99">
      <w:pPr>
        <w:keepNext w:val="0"/>
        <w:keepLines w:val="0"/>
        <w:pageBreakBefore w:val="0"/>
        <w:widowControl/>
        <w:kinsoku/>
        <w:wordWrap w:val="0"/>
        <w:overflowPunct/>
        <w:topLinePunct/>
        <w:autoSpaceDE w:val="0"/>
        <w:autoSpaceDN w:val="0"/>
        <w:bidi w:val="0"/>
        <w:adjustRightInd w:val="0"/>
        <w:snapToGrid w:val="0"/>
        <w:spacing w:line="360" w:lineRule="auto"/>
        <w:ind w:left="572"/>
        <w:textAlignment w:val="baseline"/>
        <w:outlineLvl w:val="2"/>
        <w:rPr>
          <w:rFonts w:hint="eastAsia" w:ascii="宋体" w:hAnsi="宋体" w:eastAsia="宋体" w:cs="宋体"/>
          <w:color w:val="auto"/>
          <w:spacing w:val="0"/>
          <w:sz w:val="24"/>
          <w:szCs w:val="24"/>
          <w:highlight w:val="none"/>
        </w:rPr>
      </w:pPr>
      <w:bookmarkStart w:id="143" w:name="_Toc24370"/>
      <w:r>
        <w:rPr>
          <w:rFonts w:hint="eastAsia" w:ascii="宋体" w:hAnsi="宋体" w:eastAsia="宋体" w:cs="宋体"/>
          <w:b/>
          <w:bCs/>
          <w:color w:val="auto"/>
          <w:spacing w:val="0"/>
          <w:sz w:val="24"/>
          <w:szCs w:val="24"/>
          <w:highlight w:val="none"/>
        </w:rPr>
        <w:t>2 ．中标结果公示</w:t>
      </w:r>
      <w:bookmarkEnd w:id="143"/>
    </w:p>
    <w:p w14:paraId="3E9C783E">
      <w:pPr>
        <w:keepNext w:val="0"/>
        <w:keepLines w:val="0"/>
        <w:pageBreakBefore w:val="0"/>
        <w:widowControl/>
        <w:kinsoku/>
        <w:wordWrap w:val="0"/>
        <w:overflowPunct/>
        <w:topLinePunct/>
        <w:autoSpaceDE w:val="0"/>
        <w:autoSpaceDN w:val="0"/>
        <w:bidi w:val="0"/>
        <w:adjustRightInd w:val="0"/>
        <w:snapToGrid w:val="0"/>
        <w:spacing w:line="360" w:lineRule="auto"/>
        <w:ind w:left="2" w:right="203" w:firstLine="595"/>
        <w:jc w:val="both"/>
        <w:textAlignment w:val="baseline"/>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中标通知书发出后 15</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日内，招标人应将中标结果在广东省招标投标监管网（http://zbtb.gd.gov.cn）、全国公共资源交易平台（广东省 ·韶关市）（https://ygp.gdzwfw.gov.cn/ggzy-portal/#/440200/index）进行公示。</w:t>
      </w:r>
    </w:p>
    <w:p w14:paraId="43DEA38B">
      <w:pPr>
        <w:keepNext w:val="0"/>
        <w:keepLines w:val="0"/>
        <w:pageBreakBefore w:val="0"/>
        <w:widowControl/>
        <w:kinsoku/>
        <w:wordWrap w:val="0"/>
        <w:overflowPunct/>
        <w:topLinePunct/>
        <w:autoSpaceDE w:val="0"/>
        <w:autoSpaceDN w:val="0"/>
        <w:bidi w:val="0"/>
        <w:adjustRightInd w:val="0"/>
        <w:snapToGrid w:val="0"/>
        <w:spacing w:line="360" w:lineRule="auto"/>
        <w:ind w:left="570"/>
        <w:textAlignment w:val="baseline"/>
        <w:outlineLvl w:val="2"/>
        <w:rPr>
          <w:rFonts w:hint="eastAsia" w:ascii="宋体" w:hAnsi="宋体" w:eastAsia="宋体" w:cs="宋体"/>
          <w:color w:val="auto"/>
          <w:spacing w:val="0"/>
          <w:sz w:val="24"/>
          <w:szCs w:val="24"/>
          <w:highlight w:val="none"/>
        </w:rPr>
      </w:pPr>
      <w:bookmarkStart w:id="144" w:name="_Toc32697"/>
      <w:r>
        <w:rPr>
          <w:rFonts w:hint="eastAsia" w:ascii="宋体" w:hAnsi="宋体" w:eastAsia="宋体" w:cs="宋体"/>
          <w:b/>
          <w:bCs/>
          <w:color w:val="auto"/>
          <w:spacing w:val="0"/>
          <w:sz w:val="24"/>
          <w:szCs w:val="24"/>
          <w:highlight w:val="none"/>
        </w:rPr>
        <w:t>3 ．履约保证</w:t>
      </w:r>
      <w:bookmarkEnd w:id="144"/>
    </w:p>
    <w:p w14:paraId="2EF2FCD0">
      <w:pPr>
        <w:keepNext w:val="0"/>
        <w:keepLines w:val="0"/>
        <w:pageBreakBefore w:val="0"/>
        <w:widowControl/>
        <w:kinsoku/>
        <w:wordWrap w:val="0"/>
        <w:overflowPunct/>
        <w:topLinePunct/>
        <w:autoSpaceDE w:val="0"/>
        <w:autoSpaceDN w:val="0"/>
        <w:bidi w:val="0"/>
        <w:adjustRightInd w:val="0"/>
        <w:snapToGrid w:val="0"/>
        <w:spacing w:line="360"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中标人须在领取中标通知书之日起</w:t>
      </w:r>
      <w:r>
        <w:rPr>
          <w:rFonts w:hint="eastAsia" w:ascii="宋体" w:hAnsi="宋体" w:eastAsia="宋体" w:cs="宋体"/>
          <w:color w:val="auto"/>
          <w:spacing w:val="0"/>
          <w:sz w:val="24"/>
          <w:szCs w:val="24"/>
          <w:highlight w:val="none"/>
          <w:u w:val="single"/>
          <w:lang w:val="en-US" w:eastAsia="zh-CN"/>
        </w:rPr>
        <w:t xml:space="preserve"> 10 </w:t>
      </w:r>
      <w:r>
        <w:rPr>
          <w:rFonts w:hint="eastAsia" w:ascii="宋体" w:hAnsi="宋体" w:eastAsia="宋体" w:cs="宋体"/>
          <w:color w:val="auto"/>
          <w:spacing w:val="0"/>
          <w:sz w:val="24"/>
          <w:szCs w:val="24"/>
          <w:highlight w:val="none"/>
        </w:rPr>
        <w:t>个工作日内、签订合同前向招标人提交金额</w:t>
      </w:r>
      <w:r>
        <w:rPr>
          <w:rFonts w:hint="eastAsia" w:ascii="宋体" w:hAnsi="宋体" w:eastAsia="宋体" w:cs="宋体"/>
          <w:color w:val="auto"/>
          <w:spacing w:val="0"/>
          <w:position w:val="2"/>
          <w:sz w:val="24"/>
          <w:szCs w:val="24"/>
          <w:highlight w:val="none"/>
        </w:rPr>
        <w:t>为中标价</w:t>
      </w:r>
      <w:r>
        <w:rPr>
          <w:rFonts w:hint="eastAsia" w:ascii="宋体" w:hAnsi="宋体" w:eastAsia="宋体" w:cs="宋体"/>
          <w:color w:val="auto"/>
          <w:spacing w:val="0"/>
          <w:position w:val="2"/>
          <w:sz w:val="24"/>
          <w:szCs w:val="24"/>
          <w:highlight w:val="none"/>
          <w:u w:val="single"/>
          <w:lang w:val="en-US" w:eastAsia="zh-CN"/>
        </w:rPr>
        <w:t xml:space="preserve"> 5</w:t>
      </w:r>
      <w:r>
        <w:rPr>
          <w:rFonts w:hint="eastAsia" w:ascii="宋体" w:hAnsi="宋体" w:eastAsia="宋体" w:cs="宋体"/>
          <w:color w:val="auto"/>
          <w:spacing w:val="0"/>
          <w:position w:val="2"/>
          <w:sz w:val="24"/>
          <w:szCs w:val="24"/>
          <w:highlight w:val="none"/>
          <w:u w:val="single"/>
        </w:rPr>
        <w:t xml:space="preserve">% </w:t>
      </w:r>
      <w:r>
        <w:rPr>
          <w:rFonts w:hint="eastAsia" w:ascii="宋体" w:hAnsi="宋体" w:eastAsia="宋体" w:cs="宋体"/>
          <w:color w:val="auto"/>
          <w:spacing w:val="0"/>
          <w:position w:val="2"/>
          <w:sz w:val="24"/>
          <w:szCs w:val="24"/>
          <w:highlight w:val="none"/>
        </w:rPr>
        <w:t>的履约保证。</w:t>
      </w:r>
    </w:p>
    <w:p w14:paraId="7111CF84">
      <w:pPr>
        <w:keepNext w:val="0"/>
        <w:keepLines w:val="0"/>
        <w:pageBreakBefore w:val="0"/>
        <w:widowControl/>
        <w:kinsoku/>
        <w:wordWrap w:val="0"/>
        <w:overflowPunct/>
        <w:topLinePunct/>
        <w:autoSpaceDE w:val="0"/>
        <w:autoSpaceDN w:val="0"/>
        <w:bidi w:val="0"/>
        <w:adjustRightInd w:val="0"/>
        <w:snapToGrid w:val="0"/>
        <w:spacing w:line="360" w:lineRule="auto"/>
        <w:ind w:left="12" w:right="108"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0"/>
          <w:sz w:val="24"/>
          <w:szCs w:val="24"/>
          <w:highlight w:val="none"/>
        </w:rPr>
        <w:t>。商业保函、银行保函或保险合同（或保险单）的有效期应当自合同生效之日起至项目通过竣工验收之日后 28 天止。</w:t>
      </w:r>
    </w:p>
    <w:p w14:paraId="0184FABE">
      <w:pPr>
        <w:keepNext w:val="0"/>
        <w:keepLines w:val="0"/>
        <w:pageBreakBefore w:val="0"/>
        <w:widowControl/>
        <w:kinsoku/>
        <w:wordWrap w:val="0"/>
        <w:overflowPunct/>
        <w:topLinePunct/>
        <w:autoSpaceDE w:val="0"/>
        <w:autoSpaceDN w:val="0"/>
        <w:bidi w:val="0"/>
        <w:adjustRightInd w:val="0"/>
        <w:snapToGrid w:val="0"/>
        <w:spacing w:line="360" w:lineRule="auto"/>
        <w:ind w:firstLine="562"/>
        <w:textAlignment w:val="baseline"/>
        <w:rPr>
          <w:rFonts w:hint="eastAsia" w:ascii="宋体" w:hAnsi="宋体" w:eastAsia="宋体" w:cs="宋体"/>
          <w:color w:val="auto"/>
          <w:spacing w:val="0"/>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68D42CE2">
      <w:pPr>
        <w:keepNext w:val="0"/>
        <w:keepLines w:val="0"/>
        <w:pageBreakBefore w:val="0"/>
        <w:widowControl/>
        <w:kinsoku/>
        <w:wordWrap w:val="0"/>
        <w:overflowPunct/>
        <w:topLinePunct/>
        <w:autoSpaceDE w:val="0"/>
        <w:autoSpaceDN w:val="0"/>
        <w:bidi w:val="0"/>
        <w:adjustRightInd w:val="0"/>
        <w:snapToGrid w:val="0"/>
        <w:spacing w:line="360" w:lineRule="auto"/>
        <w:ind w:left="12" w:right="108"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中标人在领取中标通知书之日起 10 个工作日内仍未提交履约保证的，招标人发出第一次提醒函；在领取中标通知书之日起 15 个工作日内仍未提交的，招标人发出第二次提醒函；在领取中标通知书之日起 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w:t>
      </w:r>
    </w:p>
    <w:p w14:paraId="1CFD6F7A">
      <w:pPr>
        <w:keepNext w:val="0"/>
        <w:keepLines w:val="0"/>
        <w:pageBreakBefore w:val="0"/>
        <w:widowControl/>
        <w:kinsoku/>
        <w:wordWrap w:val="0"/>
        <w:overflowPunct/>
        <w:topLinePunct/>
        <w:autoSpaceDE w:val="0"/>
        <w:autoSpaceDN w:val="0"/>
        <w:bidi w:val="0"/>
        <w:adjustRightInd w:val="0"/>
        <w:snapToGrid w:val="0"/>
        <w:spacing w:line="360" w:lineRule="auto"/>
        <w:ind w:left="12" w:right="108"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053C87F7">
      <w:pPr>
        <w:keepNext w:val="0"/>
        <w:keepLines w:val="0"/>
        <w:pageBreakBefore w:val="0"/>
        <w:widowControl/>
        <w:kinsoku/>
        <w:wordWrap w:val="0"/>
        <w:overflowPunct/>
        <w:topLinePunct/>
        <w:autoSpaceDE w:val="0"/>
        <w:autoSpaceDN w:val="0"/>
        <w:bidi w:val="0"/>
        <w:adjustRightInd w:val="0"/>
        <w:snapToGrid w:val="0"/>
        <w:spacing w:line="360" w:lineRule="auto"/>
        <w:ind w:left="486"/>
        <w:textAlignment w:val="baseline"/>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3.5  </w:t>
      </w:r>
      <w:r>
        <w:rPr>
          <w:rFonts w:hint="eastAsia" w:ascii="宋体" w:hAnsi="宋体" w:eastAsia="宋体" w:cs="宋体"/>
          <w:color w:val="auto"/>
          <w:spacing w:val="0"/>
          <w:sz w:val="24"/>
          <w:szCs w:val="24"/>
          <w:highlight w:val="none"/>
        </w:rPr>
        <w:t>项目通过竣工验收之日后 28 天内，发包人将履约保证退还给承包人。</w:t>
      </w:r>
    </w:p>
    <w:p w14:paraId="6CB56D23">
      <w:pPr>
        <w:keepNext w:val="0"/>
        <w:keepLines w:val="0"/>
        <w:pageBreakBefore w:val="0"/>
        <w:widowControl/>
        <w:kinsoku/>
        <w:wordWrap w:val="0"/>
        <w:overflowPunct/>
        <w:topLinePunct/>
        <w:autoSpaceDE w:val="0"/>
        <w:autoSpaceDN w:val="0"/>
        <w:bidi w:val="0"/>
        <w:adjustRightInd w:val="0"/>
        <w:snapToGrid w:val="0"/>
        <w:spacing w:line="360" w:lineRule="auto"/>
        <w:ind w:left="488"/>
        <w:textAlignment w:val="baseline"/>
        <w:outlineLvl w:val="2"/>
        <w:rPr>
          <w:rFonts w:hint="eastAsia" w:ascii="宋体" w:hAnsi="宋体" w:eastAsia="宋体" w:cs="宋体"/>
          <w:color w:val="auto"/>
          <w:spacing w:val="0"/>
          <w:sz w:val="24"/>
          <w:szCs w:val="24"/>
          <w:highlight w:val="none"/>
        </w:rPr>
      </w:pPr>
      <w:bookmarkStart w:id="145" w:name="_Toc20640"/>
      <w:r>
        <w:rPr>
          <w:rFonts w:hint="eastAsia" w:ascii="宋体" w:hAnsi="宋体" w:eastAsia="宋体" w:cs="宋体"/>
          <w:b/>
          <w:bCs/>
          <w:color w:val="auto"/>
          <w:spacing w:val="0"/>
          <w:sz w:val="24"/>
          <w:szCs w:val="24"/>
          <w:highlight w:val="none"/>
        </w:rPr>
        <w:t>4 ．合同订立</w:t>
      </w:r>
      <w:bookmarkEnd w:id="145"/>
    </w:p>
    <w:p w14:paraId="41C45C5C">
      <w:pPr>
        <w:keepNext w:val="0"/>
        <w:keepLines w:val="0"/>
        <w:pageBreakBefore w:val="0"/>
        <w:widowControl/>
        <w:kinsoku/>
        <w:wordWrap w:val="0"/>
        <w:overflowPunct/>
        <w:topLinePunct/>
        <w:autoSpaceDE w:val="0"/>
        <w:autoSpaceDN w:val="0"/>
        <w:bidi w:val="0"/>
        <w:adjustRightInd w:val="0"/>
        <w:snapToGrid w:val="0"/>
        <w:spacing w:line="360" w:lineRule="auto"/>
        <w:ind w:left="11" w:right="108"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4.1  </w:t>
      </w:r>
      <w:r>
        <w:rPr>
          <w:rFonts w:hint="eastAsia" w:ascii="宋体" w:hAnsi="宋体" w:eastAsia="宋体" w:cs="宋体"/>
          <w:color w:val="auto"/>
          <w:spacing w:val="0"/>
          <w:sz w:val="24"/>
          <w:szCs w:val="24"/>
          <w:highlight w:val="none"/>
        </w:rPr>
        <w:t>招标人应当自中标通知书发出之日起</w:t>
      </w:r>
      <w:r>
        <w:rPr>
          <w:rFonts w:hint="eastAsia" w:ascii="宋体" w:hAnsi="宋体" w:eastAsia="宋体" w:cs="宋体"/>
          <w:color w:val="auto"/>
          <w:spacing w:val="0"/>
          <w:sz w:val="24"/>
          <w:szCs w:val="24"/>
          <w:highlight w:val="none"/>
          <w:u w:val="single"/>
          <w:lang w:val="en-US" w:eastAsia="zh-CN"/>
        </w:rPr>
        <w:t xml:space="preserve"> 三十 </w:t>
      </w:r>
      <w:r>
        <w:rPr>
          <w:rFonts w:hint="eastAsia" w:ascii="宋体" w:hAnsi="宋体" w:eastAsia="宋体" w:cs="宋体"/>
          <w:color w:val="auto"/>
          <w:spacing w:val="0"/>
          <w:sz w:val="24"/>
          <w:szCs w:val="24"/>
          <w:highlight w:val="none"/>
        </w:rPr>
        <w:t>日内，按照招标文件、中标人的投标文件与中标人订立书面合同。</w:t>
      </w:r>
    </w:p>
    <w:p w14:paraId="0553CB7B">
      <w:pPr>
        <w:keepNext w:val="0"/>
        <w:keepLines w:val="0"/>
        <w:pageBreakBefore w:val="0"/>
        <w:widowControl/>
        <w:kinsoku/>
        <w:wordWrap w:val="0"/>
        <w:overflowPunct/>
        <w:topLinePunct/>
        <w:autoSpaceDE w:val="0"/>
        <w:autoSpaceDN w:val="0"/>
        <w:bidi w:val="0"/>
        <w:adjustRightInd w:val="0"/>
        <w:snapToGrid w:val="0"/>
        <w:spacing w:line="360" w:lineRule="auto"/>
        <w:ind w:left="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  </w:t>
      </w:r>
      <w:r>
        <w:rPr>
          <w:rFonts w:hint="eastAsia" w:ascii="宋体" w:hAnsi="宋体" w:eastAsia="宋体" w:cs="宋体"/>
          <w:color w:val="auto"/>
          <w:spacing w:val="0"/>
          <w:sz w:val="24"/>
          <w:szCs w:val="24"/>
          <w:highlight w:val="none"/>
        </w:rPr>
        <w:t>不正常报价的梳理和确认</w:t>
      </w:r>
    </w:p>
    <w:p w14:paraId="6D71DF9F">
      <w:pPr>
        <w:keepNext w:val="0"/>
        <w:keepLines w:val="0"/>
        <w:pageBreakBefore w:val="0"/>
        <w:widowControl/>
        <w:kinsoku/>
        <w:wordWrap w:val="0"/>
        <w:overflowPunct/>
        <w:topLinePunct/>
        <w:autoSpaceDE w:val="0"/>
        <w:autoSpaceDN w:val="0"/>
        <w:bidi w:val="0"/>
        <w:adjustRightInd w:val="0"/>
        <w:snapToGrid w:val="0"/>
        <w:spacing w:line="360" w:lineRule="auto"/>
        <w:ind w:left="14" w:right="64"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4.2.1 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0"/>
          <w:sz w:val="24"/>
          <w:szCs w:val="24"/>
          <w:highlight w:val="none"/>
        </w:rPr>
        <w:t>招标人不具备以上能力的，可授权编制本项目</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的造价咨询单位实施。</w:t>
      </w:r>
    </w:p>
    <w:p w14:paraId="330D9FAF">
      <w:pPr>
        <w:keepNext w:val="0"/>
        <w:keepLines w:val="0"/>
        <w:pageBreakBefore w:val="0"/>
        <w:widowControl/>
        <w:kinsoku/>
        <w:wordWrap w:val="0"/>
        <w:overflowPunct/>
        <w:topLinePunct/>
        <w:autoSpaceDE w:val="0"/>
        <w:autoSpaceDN w:val="0"/>
        <w:bidi w:val="0"/>
        <w:adjustRightInd w:val="0"/>
        <w:snapToGrid w:val="0"/>
        <w:spacing w:line="360" w:lineRule="auto"/>
        <w:ind w:left="14" w:right="65"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4.2.2  </w:t>
      </w:r>
      <w:r>
        <w:rPr>
          <w:rFonts w:hint="eastAsia" w:ascii="宋体" w:hAnsi="宋体" w:eastAsia="宋体" w:cs="宋体"/>
          <w:color w:val="auto"/>
          <w:spacing w:val="0"/>
          <w:sz w:val="24"/>
          <w:szCs w:val="24"/>
          <w:highlight w:val="none"/>
        </w:rPr>
        <w:t>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2CAA85D7">
      <w:pPr>
        <w:keepNext w:val="0"/>
        <w:keepLines w:val="0"/>
        <w:pageBreakBefore w:val="0"/>
        <w:widowControl/>
        <w:kinsoku/>
        <w:wordWrap w:val="0"/>
        <w:overflowPunct/>
        <w:topLinePunct/>
        <w:autoSpaceDE w:val="0"/>
        <w:autoSpaceDN w:val="0"/>
        <w:bidi w:val="0"/>
        <w:adjustRightInd w:val="0"/>
        <w:snapToGrid w:val="0"/>
        <w:spacing w:line="360" w:lineRule="auto"/>
        <w:ind w:left="12" w:right="66"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4.2.3  </w:t>
      </w:r>
      <w:r>
        <w:rPr>
          <w:rFonts w:hint="eastAsia" w:ascii="宋体" w:hAnsi="宋体" w:eastAsia="宋体" w:cs="宋体"/>
          <w:color w:val="auto"/>
          <w:spacing w:val="0"/>
          <w:sz w:val="24"/>
          <w:szCs w:val="24"/>
          <w:highlight w:val="none"/>
        </w:rPr>
        <w:t>错漏项的认定。中标人已标价工程量清单中，任一清单项目未填报价格或价格为零的，视为错漏项。</w:t>
      </w:r>
    </w:p>
    <w:p w14:paraId="6CFE5982">
      <w:pPr>
        <w:keepNext w:val="0"/>
        <w:keepLines w:val="0"/>
        <w:pageBreakBefore w:val="0"/>
        <w:widowControl/>
        <w:kinsoku/>
        <w:wordWrap w:val="0"/>
        <w:overflowPunct/>
        <w:topLinePunct/>
        <w:autoSpaceDE w:val="0"/>
        <w:autoSpaceDN w:val="0"/>
        <w:bidi w:val="0"/>
        <w:adjustRightInd w:val="0"/>
        <w:snapToGrid w:val="0"/>
        <w:spacing w:line="360"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4.2.4  </w:t>
      </w:r>
      <w:r>
        <w:rPr>
          <w:rFonts w:hint="eastAsia" w:ascii="宋体" w:hAnsi="宋体" w:eastAsia="宋体" w:cs="宋体"/>
          <w:color w:val="auto"/>
          <w:spacing w:val="0"/>
          <w:sz w:val="24"/>
          <w:szCs w:val="24"/>
          <w:highlight w:val="none"/>
        </w:rPr>
        <w:t>不平衡报价的认定。经修正算术性错误后的中标人已标价工程量清单中，</w:t>
      </w:r>
      <w:r>
        <w:rPr>
          <w:rFonts w:hint="eastAsia" w:ascii="宋体" w:hAnsi="宋体" w:eastAsia="宋体" w:cs="宋体"/>
          <w:color w:val="auto"/>
          <w:spacing w:val="0"/>
          <w:sz w:val="24"/>
          <w:szCs w:val="24"/>
          <w:highlight w:val="none"/>
          <w:u w:val="single"/>
        </w:rPr>
        <w:t>对于投标报价中综合单价相对</w:t>
      </w:r>
      <w:r>
        <w:rPr>
          <w:rFonts w:hint="eastAsia" w:ascii="宋体" w:hAnsi="宋体" w:eastAsia="宋体" w:cs="宋体"/>
          <w:color w:val="auto"/>
          <w:spacing w:val="0"/>
          <w:sz w:val="24"/>
          <w:szCs w:val="24"/>
          <w:highlight w:val="none"/>
          <w:u w:val="single"/>
          <w:lang w:val="en-US" w:eastAsia="zh-CN"/>
        </w:rPr>
        <w:t>最高投标限价</w:t>
      </w:r>
      <w:r>
        <w:rPr>
          <w:rFonts w:hint="eastAsia" w:ascii="宋体" w:hAnsi="宋体" w:eastAsia="宋体" w:cs="宋体"/>
          <w:color w:val="auto"/>
          <w:spacing w:val="0"/>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0"/>
          <w:sz w:val="24"/>
          <w:szCs w:val="24"/>
          <w:highlight w:val="none"/>
          <w:u w:val="none"/>
        </w:rPr>
        <w:t>的清单项目</w:t>
      </w:r>
      <w:r>
        <w:rPr>
          <w:rFonts w:hint="eastAsia" w:ascii="宋体" w:hAnsi="宋体" w:eastAsia="宋体" w:cs="宋体"/>
          <w:color w:val="auto"/>
          <w:spacing w:val="0"/>
          <w:sz w:val="24"/>
          <w:szCs w:val="24"/>
          <w:highlight w:val="none"/>
        </w:rPr>
        <w:t>，视为不平衡报价项目。</w:t>
      </w:r>
    </w:p>
    <w:p w14:paraId="3197B7BF">
      <w:pPr>
        <w:keepNext w:val="0"/>
        <w:keepLines w:val="0"/>
        <w:pageBreakBefore w:val="0"/>
        <w:widowControl/>
        <w:kinsoku/>
        <w:wordWrap w:val="0"/>
        <w:overflowPunct/>
        <w:topLinePunct/>
        <w:autoSpaceDE w:val="0"/>
        <w:autoSpaceDN w:val="0"/>
        <w:bidi w:val="0"/>
        <w:adjustRightInd w:val="0"/>
        <w:snapToGrid w:val="0"/>
        <w:spacing w:line="360" w:lineRule="auto"/>
        <w:ind w:left="10" w:right="65" w:firstLine="478"/>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4.2.5 </w:t>
      </w:r>
      <w:r>
        <w:rPr>
          <w:rFonts w:hint="eastAsia" w:ascii="宋体" w:hAnsi="宋体" w:eastAsia="宋体" w:cs="宋体"/>
          <w:color w:val="auto"/>
          <w:spacing w:val="0"/>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37B72BF8">
      <w:pPr>
        <w:keepNext w:val="0"/>
        <w:keepLines w:val="0"/>
        <w:pageBreakBefore w:val="0"/>
        <w:widowControl/>
        <w:kinsoku/>
        <w:wordWrap w:val="0"/>
        <w:overflowPunct/>
        <w:topLinePunct/>
        <w:autoSpaceDE w:val="0"/>
        <w:autoSpaceDN w:val="0"/>
        <w:bidi w:val="0"/>
        <w:adjustRightInd w:val="0"/>
        <w:snapToGrid w:val="0"/>
        <w:spacing w:line="360" w:lineRule="auto"/>
        <w:ind w:left="12" w:right="65" w:firstLine="475"/>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4.2.6 合同履行过程中，被认定为错漏项的清单项目，结算时按照第三章“拟签订合同的主要条款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”规定处理。</w:t>
      </w:r>
    </w:p>
    <w:p w14:paraId="428BA5E4">
      <w:pPr>
        <w:keepNext w:val="0"/>
        <w:keepLines w:val="0"/>
        <w:pageBreakBefore w:val="0"/>
        <w:widowControl/>
        <w:kinsoku/>
        <w:wordWrap w:val="0"/>
        <w:overflowPunct/>
        <w:topLinePunct/>
        <w:autoSpaceDE w:val="0"/>
        <w:autoSpaceDN w:val="0"/>
        <w:bidi w:val="0"/>
        <w:adjustRightInd w:val="0"/>
        <w:snapToGrid w:val="0"/>
        <w:spacing w:line="360" w:lineRule="auto"/>
        <w:ind w:left="12" w:right="38" w:firstLine="476"/>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”有关规定调整合同价款。</w:t>
      </w:r>
    </w:p>
    <w:p w14:paraId="2196CFD8">
      <w:pPr>
        <w:keepNext w:val="0"/>
        <w:keepLines w:val="0"/>
        <w:pageBreakBefore w:val="0"/>
        <w:widowControl/>
        <w:kinsoku/>
        <w:wordWrap w:val="0"/>
        <w:overflowPunct/>
        <w:topLinePunct/>
        <w:autoSpaceDE w:val="0"/>
        <w:autoSpaceDN w:val="0"/>
        <w:bidi w:val="0"/>
        <w:adjustRightInd w:val="0"/>
        <w:snapToGrid w:val="0"/>
        <w:spacing w:line="360" w:lineRule="auto"/>
        <w:ind w:left="487"/>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4.3  </w:t>
      </w:r>
      <w:r>
        <w:rPr>
          <w:rFonts w:hint="eastAsia" w:ascii="宋体" w:hAnsi="宋体" w:eastAsia="宋体" w:cs="宋体"/>
          <w:color w:val="auto"/>
          <w:spacing w:val="0"/>
          <w:sz w:val="24"/>
          <w:szCs w:val="24"/>
          <w:highlight w:val="none"/>
        </w:rPr>
        <w:t>本招标项目合同计价方式为：</w:t>
      </w:r>
      <w:r>
        <w:rPr>
          <w:rFonts w:hint="eastAsia" w:ascii="宋体" w:hAnsi="宋体" w:eastAsia="宋体" w:cs="宋体"/>
          <w:color w:val="auto"/>
          <w:spacing w:val="0"/>
          <w:sz w:val="24"/>
          <w:szCs w:val="24"/>
          <w:highlight w:val="none"/>
          <w:u w:val="single"/>
        </w:rPr>
        <w:t xml:space="preserve"> 单价 </w:t>
      </w:r>
      <w:r>
        <w:rPr>
          <w:rFonts w:hint="eastAsia" w:ascii="宋体" w:hAnsi="宋体" w:eastAsia="宋体" w:cs="宋体"/>
          <w:color w:val="auto"/>
          <w:spacing w:val="0"/>
          <w:sz w:val="24"/>
          <w:szCs w:val="24"/>
          <w:highlight w:val="none"/>
        </w:rPr>
        <w:t>合同。</w:t>
      </w:r>
    </w:p>
    <w:p w14:paraId="1D4F9CB4">
      <w:pPr>
        <w:keepNext w:val="0"/>
        <w:keepLines w:val="0"/>
        <w:pageBreakBefore w:val="0"/>
        <w:widowControl/>
        <w:kinsoku/>
        <w:wordWrap w:val="0"/>
        <w:overflowPunct/>
        <w:topLinePunct/>
        <w:autoSpaceDE w:val="0"/>
        <w:autoSpaceDN w:val="0"/>
        <w:bidi w:val="0"/>
        <w:adjustRightInd w:val="0"/>
        <w:snapToGrid w:val="0"/>
        <w:spacing w:line="360" w:lineRule="auto"/>
        <w:ind w:left="11" w:right="28"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4.4  </w:t>
      </w:r>
      <w:r>
        <w:rPr>
          <w:rFonts w:hint="eastAsia" w:ascii="宋体" w:hAnsi="宋体" w:eastAsia="宋体" w:cs="宋体"/>
          <w:color w:val="auto"/>
          <w:spacing w:val="0"/>
          <w:sz w:val="24"/>
          <w:szCs w:val="24"/>
          <w:highlight w:val="none"/>
        </w:rPr>
        <w:t>合同的标的、质量、履行期限条款和合同的价款、单价、比例条款等主要条款，应当与招标文件、中标人的投标文件的内容一致。中标人在签订合同时不得向招标人提出附加条件。</w:t>
      </w:r>
    </w:p>
    <w:p w14:paraId="3993216C">
      <w:pPr>
        <w:keepNext w:val="0"/>
        <w:keepLines w:val="0"/>
        <w:pageBreakBefore w:val="0"/>
        <w:widowControl/>
        <w:kinsoku/>
        <w:wordWrap w:val="0"/>
        <w:overflowPunct/>
        <w:topLinePunct/>
        <w:autoSpaceDE w:val="0"/>
        <w:autoSpaceDN w:val="0"/>
        <w:bidi w:val="0"/>
        <w:adjustRightInd w:val="0"/>
        <w:snapToGrid w:val="0"/>
        <w:spacing w:line="360" w:lineRule="auto"/>
        <w:ind w:left="12" w:right="9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4.5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62E81961">
      <w:pPr>
        <w:keepNext w:val="0"/>
        <w:keepLines w:val="0"/>
        <w:pageBreakBefore w:val="0"/>
        <w:widowControl/>
        <w:kinsoku/>
        <w:wordWrap w:val="0"/>
        <w:overflowPunct/>
        <w:topLinePunct/>
        <w:autoSpaceDE w:val="0"/>
        <w:autoSpaceDN w:val="0"/>
        <w:bidi w:val="0"/>
        <w:adjustRightInd w:val="0"/>
        <w:snapToGrid w:val="0"/>
        <w:spacing w:line="360" w:lineRule="auto"/>
        <w:ind w:left="12" w:right="9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4.6  在书面合同订立之日起 2 个工作日内，由中标人或招标代理机构将合同上传至建设工程交易系统，并发起退还投标保证的申请。韶关市公共资源交易中心在收到申请之日起 3 个工作日内，将投标保证金（或银行保函）退还给中标人和其他中标候选人。</w:t>
      </w:r>
    </w:p>
    <w:p w14:paraId="5EB1672E">
      <w:pPr>
        <w:keepNext w:val="0"/>
        <w:keepLines w:val="0"/>
        <w:pageBreakBefore w:val="0"/>
        <w:widowControl/>
        <w:kinsoku/>
        <w:wordWrap w:val="0"/>
        <w:overflowPunct/>
        <w:topLinePunct/>
        <w:autoSpaceDE w:val="0"/>
        <w:autoSpaceDN w:val="0"/>
        <w:bidi w:val="0"/>
        <w:adjustRightInd w:val="0"/>
        <w:snapToGrid w:val="0"/>
        <w:spacing w:line="360" w:lineRule="auto"/>
        <w:ind w:left="489"/>
        <w:textAlignment w:val="baseline"/>
        <w:outlineLvl w:val="2"/>
        <w:rPr>
          <w:rFonts w:hint="eastAsia" w:ascii="宋体" w:hAnsi="宋体" w:eastAsia="宋体" w:cs="宋体"/>
          <w:color w:val="auto"/>
          <w:spacing w:val="0"/>
          <w:sz w:val="24"/>
          <w:szCs w:val="24"/>
          <w:highlight w:val="none"/>
        </w:rPr>
      </w:pPr>
      <w:bookmarkStart w:id="146" w:name="_Toc19946"/>
      <w:r>
        <w:rPr>
          <w:rFonts w:hint="eastAsia" w:ascii="宋体" w:hAnsi="宋体" w:eastAsia="宋体" w:cs="宋体"/>
          <w:b/>
          <w:bCs/>
          <w:color w:val="auto"/>
          <w:spacing w:val="0"/>
          <w:sz w:val="24"/>
          <w:szCs w:val="24"/>
          <w:highlight w:val="none"/>
        </w:rPr>
        <w:t>5 ．放弃中标的处理</w:t>
      </w:r>
      <w:bookmarkEnd w:id="146"/>
    </w:p>
    <w:p w14:paraId="44890A86">
      <w:pPr>
        <w:keepNext w:val="0"/>
        <w:keepLines w:val="0"/>
        <w:pageBreakBefore w:val="0"/>
        <w:widowControl/>
        <w:kinsoku/>
        <w:wordWrap w:val="0"/>
        <w:overflowPunct/>
        <w:topLinePunct/>
        <w:autoSpaceDE w:val="0"/>
        <w:autoSpaceDN w:val="0"/>
        <w:bidi w:val="0"/>
        <w:adjustRightInd w:val="0"/>
        <w:snapToGrid w:val="0"/>
        <w:spacing w:line="360" w:lineRule="auto"/>
        <w:ind w:left="12" w:right="91" w:firstLine="477"/>
        <w:textAlignment w:val="baseline"/>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5.1</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无正当理由放弃中标的，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 招标人重新招标的，招标人可不接受该弃标人再次投标。同时，</w:t>
      </w:r>
      <w:r>
        <w:rPr>
          <w:rFonts w:hint="eastAsia" w:ascii="宋体" w:hAnsi="宋体" w:eastAsia="宋体" w:cs="宋体"/>
          <w:b/>
          <w:bCs/>
          <w:color w:val="auto"/>
          <w:spacing w:val="0"/>
          <w:sz w:val="24"/>
          <w:szCs w:val="24"/>
          <w:highlight w:val="none"/>
        </w:rPr>
        <w:t>招标人应将该弃标人的失信行为向行政监督部门报告。</w:t>
      </w:r>
    </w:p>
    <w:p w14:paraId="27D398E0">
      <w:pPr>
        <w:keepNext w:val="0"/>
        <w:keepLines w:val="0"/>
        <w:pageBreakBefore w:val="0"/>
        <w:widowControl/>
        <w:kinsoku/>
        <w:wordWrap w:val="0"/>
        <w:overflowPunct/>
        <w:topLinePunct/>
        <w:autoSpaceDE w:val="0"/>
        <w:autoSpaceDN w:val="0"/>
        <w:bidi w:val="0"/>
        <w:adjustRightInd w:val="0"/>
        <w:snapToGrid w:val="0"/>
        <w:spacing w:line="360" w:lineRule="auto"/>
        <w:ind w:left="10" w:right="91" w:firstLine="479"/>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5.2  </w:t>
      </w:r>
      <w:r>
        <w:rPr>
          <w:rFonts w:hint="eastAsia" w:ascii="宋体" w:hAnsi="宋体" w:eastAsia="宋体" w:cs="宋体"/>
          <w:color w:val="auto"/>
          <w:spacing w:val="0"/>
          <w:sz w:val="24"/>
          <w:szCs w:val="24"/>
          <w:highlight w:val="none"/>
        </w:rPr>
        <w:t>中标人因不可抗力提出不能履行合同的，须在领取中标通知书之日起 10 天内提供有关证明文件或资料，其投标保证予以退还，招标人可按照评标委员会提出的中标候选人名单排序依次确定其他中标候选人为中标人。如果招标人认为其他中标候选人的条</w:t>
      </w:r>
      <w:bookmarkStart w:id="147" w:name="bookmark84"/>
      <w:bookmarkEnd w:id="147"/>
      <w:r>
        <w:rPr>
          <w:rFonts w:hint="eastAsia" w:ascii="宋体" w:hAnsi="宋体" w:eastAsia="宋体" w:cs="宋体"/>
          <w:color w:val="auto"/>
          <w:spacing w:val="0"/>
          <w:sz w:val="24"/>
          <w:szCs w:val="24"/>
          <w:highlight w:val="none"/>
        </w:rPr>
        <w:t>件明显不利于招标人的，也可以重新招标。</w:t>
      </w:r>
    </w:p>
    <w:p w14:paraId="7FAA246C">
      <w:pPr>
        <w:pStyle w:val="15"/>
        <w:keepNext w:val="0"/>
        <w:keepLines w:val="0"/>
        <w:pageBreakBefore w:val="0"/>
        <w:kinsoku/>
        <w:wordWrap w:val="0"/>
        <w:overflowPunct/>
        <w:topLinePunct/>
        <w:bidi w:val="0"/>
        <w:rPr>
          <w:rFonts w:hint="eastAsia" w:ascii="宋体" w:hAnsi="宋体" w:eastAsia="宋体" w:cs="宋体"/>
          <w:color w:val="auto"/>
          <w:spacing w:val="0"/>
          <w:highlight w:val="none"/>
        </w:rPr>
      </w:pPr>
    </w:p>
    <w:p w14:paraId="492CB391">
      <w:pPr>
        <w:pStyle w:val="15"/>
        <w:keepNext w:val="0"/>
        <w:keepLines w:val="0"/>
        <w:pageBreakBefore w:val="0"/>
        <w:kinsoku/>
        <w:wordWrap w:val="0"/>
        <w:overflowPunct/>
        <w:topLinePunct/>
        <w:bidi w:val="0"/>
        <w:rPr>
          <w:rFonts w:hint="eastAsia" w:ascii="宋体" w:hAnsi="宋体" w:eastAsia="宋体" w:cs="宋体"/>
          <w:color w:val="auto"/>
          <w:spacing w:val="0"/>
          <w:highlight w:val="none"/>
        </w:rPr>
        <w:sectPr>
          <w:footerReference r:id="rId9"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4EB468DB">
      <w:pPr>
        <w:keepNext w:val="0"/>
        <w:keepLines w:val="0"/>
        <w:pageBreakBefore w:val="0"/>
        <w:kinsoku/>
        <w:wordWrap w:val="0"/>
        <w:overflowPunct/>
        <w:topLinePunct/>
        <w:bidi w:val="0"/>
        <w:spacing w:before="78" w:line="219" w:lineRule="auto"/>
        <w:ind w:left="2923"/>
        <w:outlineLvl w:val="0"/>
        <w:rPr>
          <w:rFonts w:hint="eastAsia" w:ascii="宋体" w:hAnsi="宋体" w:eastAsia="宋体" w:cs="宋体"/>
          <w:color w:val="auto"/>
          <w:spacing w:val="0"/>
          <w:sz w:val="28"/>
          <w:szCs w:val="28"/>
          <w:highlight w:val="none"/>
        </w:rPr>
      </w:pPr>
      <w:bookmarkStart w:id="148" w:name="bookmark86"/>
      <w:bookmarkEnd w:id="148"/>
      <w:bookmarkStart w:id="149" w:name="_Toc12223"/>
      <w:r>
        <w:rPr>
          <w:rFonts w:hint="eastAsia" w:ascii="宋体" w:hAnsi="宋体" w:eastAsia="宋体" w:cs="宋体"/>
          <w:b/>
          <w:bCs/>
          <w:color w:val="auto"/>
          <w:spacing w:val="0"/>
          <w:sz w:val="28"/>
          <w:szCs w:val="28"/>
          <w:highlight w:val="none"/>
        </w:rPr>
        <w:t>第三章</w:t>
      </w:r>
      <w:r>
        <w:rPr>
          <w:rFonts w:hint="eastAsia" w:ascii="宋体" w:hAnsi="宋体" w:eastAsia="宋体" w:cs="宋体"/>
          <w:color w:val="auto"/>
          <w:spacing w:val="0"/>
          <w:sz w:val="28"/>
          <w:szCs w:val="28"/>
          <w:highlight w:val="none"/>
        </w:rPr>
        <w:t xml:space="preserve"> </w:t>
      </w:r>
      <w:r>
        <w:rPr>
          <w:rFonts w:hint="eastAsia" w:ascii="宋体" w:hAnsi="宋体" w:eastAsia="宋体" w:cs="宋体"/>
          <w:b/>
          <w:bCs/>
          <w:color w:val="auto"/>
          <w:spacing w:val="0"/>
          <w:sz w:val="28"/>
          <w:szCs w:val="28"/>
          <w:highlight w:val="none"/>
        </w:rPr>
        <w:t>拟签订合同的主要条款</w:t>
      </w:r>
      <w:bookmarkEnd w:id="149"/>
    </w:p>
    <w:p w14:paraId="7604DFC2">
      <w:pPr>
        <w:pStyle w:val="6"/>
        <w:keepNext w:val="0"/>
        <w:keepLines w:val="0"/>
        <w:pageBreakBefore w:val="0"/>
        <w:kinsoku/>
        <w:wordWrap w:val="0"/>
        <w:overflowPunct/>
        <w:topLinePunct/>
        <w:bidi w:val="0"/>
        <w:spacing w:line="257" w:lineRule="auto"/>
        <w:rPr>
          <w:rFonts w:hint="eastAsia" w:ascii="宋体" w:hAnsi="宋体" w:eastAsia="宋体" w:cs="宋体"/>
          <w:color w:val="auto"/>
          <w:spacing w:val="0"/>
          <w:sz w:val="36"/>
          <w:szCs w:val="36"/>
          <w:highlight w:val="none"/>
        </w:rPr>
      </w:pPr>
    </w:p>
    <w:p w14:paraId="6DA5DB66">
      <w:pPr>
        <w:keepNext w:val="0"/>
        <w:keepLines w:val="0"/>
        <w:pageBreakBefore w:val="0"/>
        <w:kinsoku/>
        <w:wordWrap w:val="0"/>
        <w:overflowPunct/>
        <w:topLinePunct/>
        <w:bidi w:val="0"/>
        <w:adjustRightInd w:val="0"/>
        <w:snapToGrid w:val="0"/>
        <w:spacing w:line="360" w:lineRule="auto"/>
        <w:ind w:left="498"/>
        <w:outlineLvl w:val="2"/>
        <w:rPr>
          <w:rFonts w:hint="eastAsia" w:ascii="宋体" w:hAnsi="宋体" w:eastAsia="宋体" w:cs="宋体"/>
          <w:color w:val="auto"/>
          <w:spacing w:val="0"/>
          <w:sz w:val="24"/>
          <w:szCs w:val="24"/>
          <w:highlight w:val="none"/>
        </w:rPr>
      </w:pPr>
      <w:bookmarkStart w:id="150" w:name="_Toc16405"/>
      <w:r>
        <w:rPr>
          <w:rFonts w:hint="eastAsia" w:ascii="宋体" w:hAnsi="宋体" w:eastAsia="宋体" w:cs="宋体"/>
          <w:b/>
          <w:bCs/>
          <w:color w:val="auto"/>
          <w:spacing w:val="0"/>
          <w:sz w:val="24"/>
          <w:szCs w:val="24"/>
          <w:highlight w:val="none"/>
        </w:rPr>
        <w:t>1 ．工程承包方式</w:t>
      </w:r>
      <w:bookmarkEnd w:id="150"/>
    </w:p>
    <w:p w14:paraId="79B5BC05">
      <w:pPr>
        <w:keepNext w:val="0"/>
        <w:keepLines w:val="0"/>
        <w:pageBreakBefore w:val="0"/>
        <w:kinsoku/>
        <w:wordWrap w:val="0"/>
        <w:overflowPunct/>
        <w:topLinePunct/>
        <w:bidi w:val="0"/>
        <w:adjustRightInd w:val="0"/>
        <w:snapToGrid w:val="0"/>
        <w:spacing w:line="360" w:lineRule="auto"/>
        <w:ind w:left="11" w:right="29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承包人以中标价按包工包料、包质量、包安全包文明施工、包工期方式总承包施工，不允许转包和违法分包，如果承包人将建设工程转包或违法分包，发包人可以解除合同。如果确需分包须与发包人协商，在得到发包人和监理单位同意后报建设行政主管部门备案。</w:t>
      </w:r>
    </w:p>
    <w:p w14:paraId="0EEDE6D2">
      <w:pPr>
        <w:keepNext w:val="0"/>
        <w:keepLines w:val="0"/>
        <w:pageBreakBefore w:val="0"/>
        <w:kinsoku/>
        <w:wordWrap w:val="0"/>
        <w:overflowPunct/>
        <w:topLinePunct/>
        <w:bidi w:val="0"/>
        <w:adjustRightInd w:val="0"/>
        <w:snapToGrid w:val="0"/>
        <w:spacing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包工包料：材料符合招标文件要求并报验使用；办理用工保险。</w:t>
      </w:r>
    </w:p>
    <w:p w14:paraId="4EBD4521">
      <w:pPr>
        <w:keepNext w:val="0"/>
        <w:keepLines w:val="0"/>
        <w:pageBreakBefore w:val="0"/>
        <w:kinsoku/>
        <w:wordWrap w:val="0"/>
        <w:overflowPunct/>
        <w:topLinePunct/>
        <w:bidi w:val="0"/>
        <w:adjustRightInd w:val="0"/>
        <w:snapToGrid w:val="0"/>
        <w:spacing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包质量：符合招标文件要求。</w:t>
      </w:r>
    </w:p>
    <w:p w14:paraId="5C8AC384">
      <w:pPr>
        <w:keepNext w:val="0"/>
        <w:keepLines w:val="0"/>
        <w:pageBreakBefore w:val="0"/>
        <w:kinsoku/>
        <w:wordWrap w:val="0"/>
        <w:overflowPunct/>
        <w:topLinePunct/>
        <w:bidi w:val="0"/>
        <w:adjustRightInd w:val="0"/>
        <w:snapToGrid w:val="0"/>
        <w:spacing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包安全包文明施工：符合招标文件要求。</w:t>
      </w:r>
    </w:p>
    <w:p w14:paraId="7CD895F8">
      <w:pPr>
        <w:keepNext w:val="0"/>
        <w:keepLines w:val="0"/>
        <w:pageBreakBefore w:val="0"/>
        <w:kinsoku/>
        <w:wordWrap w:val="0"/>
        <w:overflowPunct/>
        <w:topLinePunct/>
        <w:bidi w:val="0"/>
        <w:adjustRightInd w:val="0"/>
        <w:snapToGrid w:val="0"/>
        <w:spacing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1.1.4  </w:t>
      </w:r>
      <w:r>
        <w:rPr>
          <w:rFonts w:hint="eastAsia" w:ascii="宋体" w:hAnsi="宋体" w:eastAsia="宋体" w:cs="宋体"/>
          <w:color w:val="auto"/>
          <w:spacing w:val="0"/>
          <w:sz w:val="24"/>
          <w:szCs w:val="24"/>
          <w:highlight w:val="none"/>
        </w:rPr>
        <w:t>包工期：本招标项目施工必须在招标工期内完成。</w:t>
      </w:r>
    </w:p>
    <w:p w14:paraId="2704E775">
      <w:pPr>
        <w:keepNext w:val="0"/>
        <w:keepLines w:val="0"/>
        <w:pageBreakBefore w:val="0"/>
        <w:kinsoku/>
        <w:wordWrap w:val="0"/>
        <w:overflowPunct/>
        <w:topLinePunct/>
        <w:bidi w:val="0"/>
        <w:adjustRightInd w:val="0"/>
        <w:snapToGrid w:val="0"/>
        <w:spacing w:line="360" w:lineRule="auto"/>
        <w:ind w:left="488"/>
        <w:outlineLvl w:val="2"/>
        <w:rPr>
          <w:rFonts w:hint="eastAsia" w:ascii="宋体" w:hAnsi="宋体" w:eastAsia="宋体" w:cs="宋体"/>
          <w:color w:val="auto"/>
          <w:spacing w:val="0"/>
          <w:sz w:val="24"/>
          <w:szCs w:val="24"/>
          <w:highlight w:val="none"/>
        </w:rPr>
      </w:pPr>
      <w:bookmarkStart w:id="151" w:name="bookmark88"/>
      <w:bookmarkEnd w:id="151"/>
      <w:bookmarkStart w:id="152" w:name="_Toc25797"/>
      <w:r>
        <w:rPr>
          <w:rFonts w:hint="eastAsia" w:ascii="宋体" w:hAnsi="宋体" w:eastAsia="宋体" w:cs="宋体"/>
          <w:b/>
          <w:bCs/>
          <w:color w:val="auto"/>
          <w:spacing w:val="0"/>
          <w:sz w:val="24"/>
          <w:szCs w:val="24"/>
          <w:highlight w:val="none"/>
        </w:rPr>
        <w:t>2 ．工程结算原则</w:t>
      </w:r>
      <w:bookmarkEnd w:id="152"/>
    </w:p>
    <w:p w14:paraId="09B651EC">
      <w:pPr>
        <w:keepNext w:val="0"/>
        <w:keepLines w:val="0"/>
        <w:pageBreakBefore w:val="0"/>
        <w:kinsoku/>
        <w:wordWrap w:val="0"/>
        <w:overflowPunct/>
        <w:topLinePunct/>
        <w:bidi w:val="0"/>
        <w:adjustRightInd w:val="0"/>
        <w:snapToGrid w:val="0"/>
        <w:spacing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承包人的投标总价为中标价，即为签约合同价。</w:t>
      </w:r>
    </w:p>
    <w:p w14:paraId="08394E8F">
      <w:pPr>
        <w:keepNext w:val="0"/>
        <w:keepLines w:val="0"/>
        <w:pageBreakBefore w:val="0"/>
        <w:kinsoku/>
        <w:wordWrap w:val="0"/>
        <w:overflowPunct/>
        <w:topLinePunct/>
        <w:bidi w:val="0"/>
        <w:adjustRightInd w:val="0"/>
        <w:snapToGrid w:val="0"/>
        <w:spacing w:line="360" w:lineRule="auto"/>
        <w:ind w:left="12" w:right="231"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招标工程量清单标明的工程量是投标人投标报价的共同基础，竣工结算的工程量按</w:t>
      </w:r>
      <w:bookmarkStart w:id="153" w:name="OLE_LINK28"/>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）对工程计量的规定进行计量，必须以承包人完成合同工程应予计量的工程量确定。施</w:t>
      </w:r>
      <w:bookmarkEnd w:id="153"/>
      <w:r>
        <w:rPr>
          <w:rFonts w:hint="eastAsia" w:ascii="宋体" w:hAnsi="宋体" w:eastAsia="宋体" w:cs="宋体"/>
          <w:color w:val="auto"/>
          <w:spacing w:val="0"/>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6D0BB85B">
      <w:pPr>
        <w:keepNext w:val="0"/>
        <w:keepLines w:val="0"/>
        <w:pageBreakBefore w:val="0"/>
        <w:kinsoku/>
        <w:wordWrap w:val="0"/>
        <w:overflowPunct/>
        <w:topLinePunct/>
        <w:bidi w:val="0"/>
        <w:adjustRightInd w:val="0"/>
        <w:snapToGrid w:val="0"/>
        <w:spacing w:line="360" w:lineRule="auto"/>
        <w:ind w:left="12" w:right="183"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  </w:t>
      </w:r>
      <w:r>
        <w:rPr>
          <w:rFonts w:hint="eastAsia" w:ascii="宋体" w:hAnsi="宋体" w:eastAsia="宋体" w:cs="宋体"/>
          <w:color w:val="auto"/>
          <w:spacing w:val="0"/>
          <w:sz w:val="24"/>
          <w:szCs w:val="24"/>
          <w:highlight w:val="none"/>
        </w:rPr>
        <w:t>施工合同履行期间，若出现下列情形的，发、承包双方应当按照以下规定调整合同价款：</w:t>
      </w:r>
    </w:p>
    <w:p w14:paraId="381D4717">
      <w:pPr>
        <w:keepNext w:val="0"/>
        <w:keepLines w:val="0"/>
        <w:pageBreakBefore w:val="0"/>
        <w:kinsoku/>
        <w:wordWrap w:val="0"/>
        <w:overflowPunct/>
        <w:topLinePunct/>
        <w:bidi w:val="0"/>
        <w:adjustRightInd w:val="0"/>
        <w:snapToGrid w:val="0"/>
        <w:spacing w:line="36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2.3.1  </w:t>
      </w:r>
      <w:r>
        <w:rPr>
          <w:rFonts w:hint="eastAsia" w:ascii="宋体" w:hAnsi="宋体" w:eastAsia="宋体" w:cs="宋体"/>
          <w:color w:val="auto"/>
          <w:spacing w:val="0"/>
          <w:sz w:val="24"/>
          <w:szCs w:val="24"/>
          <w:highlight w:val="none"/>
        </w:rPr>
        <w:t>法律法规变化</w:t>
      </w:r>
    </w:p>
    <w:p w14:paraId="0F6C2F89">
      <w:pPr>
        <w:keepNext w:val="0"/>
        <w:keepLines w:val="0"/>
        <w:pageBreakBefore w:val="0"/>
        <w:kinsoku/>
        <w:wordWrap w:val="0"/>
        <w:overflowPunct/>
        <w:topLinePunct/>
        <w:bidi w:val="0"/>
        <w:adjustRightInd w:val="0"/>
        <w:snapToGrid w:val="0"/>
        <w:spacing w:line="360"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"2.3.1.1"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2.3.1.1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color w:val="auto"/>
          <w:spacing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758CB6EC">
      <w:pPr>
        <w:keepNext w:val="0"/>
        <w:keepLines w:val="0"/>
        <w:pageBreakBefore w:val="0"/>
        <w:kinsoku/>
        <w:wordWrap w:val="0"/>
        <w:overflowPunct/>
        <w:topLinePunct/>
        <w:bidi w:val="0"/>
        <w:adjustRightInd w:val="0"/>
        <w:snapToGrid w:val="0"/>
        <w:spacing w:line="360" w:lineRule="auto"/>
        <w:ind w:left="12" w:right="183"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注：本招标文件所称“基准日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”，均指投标文件递交截止时间（见第一章第二节“重要事项时间地点一览表</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”）前</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28 天。</w:t>
      </w:r>
    </w:p>
    <w:p w14:paraId="7729CE88">
      <w:pPr>
        <w:keepNext w:val="0"/>
        <w:keepLines w:val="0"/>
        <w:pageBreakBefore w:val="0"/>
        <w:kinsoku/>
        <w:wordWrap w:val="0"/>
        <w:overflowPunct/>
        <w:topLinePunct/>
        <w:bidi w:val="0"/>
        <w:adjustRightInd w:val="0"/>
        <w:snapToGrid w:val="0"/>
        <w:spacing w:line="360" w:lineRule="auto"/>
        <w:ind w:left="1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"2.3.1.2"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2.3.1.2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因承包人原因导致工程延误，本章第 </w:t>
      </w:r>
      <w:r>
        <w:rPr>
          <w:rFonts w:hint="eastAsia" w:ascii="宋体" w:hAnsi="宋体" w:eastAsia="宋体" w:cs="宋体"/>
          <w:b/>
          <w:bCs/>
          <w:color w:val="auto"/>
          <w:spacing w:val="0"/>
          <w:sz w:val="24"/>
          <w:szCs w:val="24"/>
          <w:highlight w:val="none"/>
        </w:rPr>
        <w:t xml:space="preserve">2.3.1.1 </w:t>
      </w:r>
      <w:r>
        <w:rPr>
          <w:rFonts w:hint="eastAsia" w:ascii="宋体" w:hAnsi="宋体" w:eastAsia="宋体" w:cs="宋体"/>
          <w:color w:val="auto"/>
          <w:spacing w:val="0"/>
          <w:sz w:val="24"/>
          <w:szCs w:val="24"/>
          <w:highlight w:val="none"/>
        </w:rPr>
        <w:t>子目中的法定机构根据国家法律法规变化发布新规的时间在合同工程原定竣工时间之后的，合同价款调增的不予调整，合同价款调减的予以调整。</w:t>
      </w:r>
    </w:p>
    <w:p w14:paraId="3BF209EC">
      <w:pPr>
        <w:keepNext w:val="0"/>
        <w:keepLines w:val="0"/>
        <w:pageBreakBefore w:val="0"/>
        <w:kinsoku/>
        <w:wordWrap w:val="0"/>
        <w:overflowPunct/>
        <w:topLinePunct/>
        <w:bidi w:val="0"/>
        <w:adjustRightInd w:val="0"/>
        <w:snapToGrid w:val="0"/>
        <w:spacing w:line="36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2.3.2  </w:t>
      </w:r>
      <w:r>
        <w:rPr>
          <w:rFonts w:hint="eastAsia" w:ascii="宋体" w:hAnsi="宋体" w:eastAsia="宋体" w:cs="宋体"/>
          <w:color w:val="auto"/>
          <w:spacing w:val="0"/>
          <w:sz w:val="24"/>
          <w:szCs w:val="24"/>
          <w:highlight w:val="none"/>
        </w:rPr>
        <w:t>工程量偏差或变化</w:t>
      </w:r>
    </w:p>
    <w:p w14:paraId="54889CDA">
      <w:pPr>
        <w:keepNext w:val="0"/>
        <w:keepLines w:val="0"/>
        <w:pageBreakBefore w:val="0"/>
        <w:kinsoku/>
        <w:wordWrap w:val="0"/>
        <w:overflowPunct/>
        <w:topLinePunct/>
        <w:bidi w:val="0"/>
        <w:adjustRightInd w:val="0"/>
        <w:snapToGrid w:val="0"/>
        <w:spacing w:line="360"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合同履行期间，当应予计算的实际工程量与招标工程量清单出现偏差或因工程变更引起已标价工程量清单项目的工程数量发生变化时，工程量偏差或变化在 15%以内（含 15%）的，其综合单价不予调整；工程量偏差或变化超过 15%的，按照以下规定调整：</w:t>
      </w:r>
    </w:p>
    <w:p w14:paraId="69012AD7">
      <w:pPr>
        <w:keepNext w:val="0"/>
        <w:keepLines w:val="0"/>
        <w:pageBreakBefore w:val="0"/>
        <w:kinsoku/>
        <w:wordWrap w:val="0"/>
        <w:overflowPunct/>
        <w:topLinePunct/>
        <w:bidi w:val="0"/>
        <w:adjustRightInd w:val="0"/>
        <w:snapToGrid w:val="0"/>
        <w:spacing w:line="360" w:lineRule="auto"/>
        <w:ind w:left="12" w:firstLine="478"/>
        <w:jc w:val="both"/>
        <w:rPr>
          <w:rFonts w:hint="eastAsia" w:ascii="宋体" w:hAnsi="宋体" w:eastAsia="宋体" w:cs="宋体"/>
          <w:color w:val="auto"/>
          <w:spacing w:val="0"/>
          <w:sz w:val="24"/>
          <w:szCs w:val="24"/>
          <w:highlight w:val="none"/>
        </w:rPr>
      </w:pPr>
      <w:bookmarkStart w:id="154" w:name="bookmark142"/>
      <w:bookmarkEnd w:id="154"/>
      <w:r>
        <w:rPr>
          <w:rFonts w:hint="eastAsia" w:ascii="宋体" w:hAnsi="宋体" w:eastAsia="宋体" w:cs="宋体"/>
          <w:color w:val="auto"/>
          <w:spacing w:val="0"/>
          <w:sz w:val="24"/>
          <w:szCs w:val="24"/>
          <w:highlight w:val="none"/>
        </w:rPr>
        <w:t>对于合理报价的清单项目，当工程量增加超过 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p>
    <w:p w14:paraId="49587A53">
      <w:pPr>
        <w:keepNext w:val="0"/>
        <w:keepLines w:val="0"/>
        <w:pageBreakBefore w:val="0"/>
        <w:kinsoku/>
        <w:wordWrap w:val="0"/>
        <w:overflowPunct/>
        <w:topLinePunct/>
        <w:bidi w:val="0"/>
        <w:adjustRightInd w:val="0"/>
        <w:snapToGrid w:val="0"/>
        <w:spacing w:line="360" w:lineRule="auto"/>
        <w:ind w:left="13" w:right="17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对于按照第二章“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条被认定为不平衡报价的清单项目，其综合单价按照以下方法调整：</w:t>
      </w:r>
    </w:p>
    <w:p w14:paraId="658D13BB">
      <w:pPr>
        <w:keepNext w:val="0"/>
        <w:keepLines w:val="0"/>
        <w:pageBreakBefore w:val="0"/>
        <w:kinsoku/>
        <w:wordWrap w:val="0"/>
        <w:overflowPunct/>
        <w:topLinePunct/>
        <w:bidi w:val="0"/>
        <w:adjustRightInd w:val="0"/>
        <w:snapToGrid w:val="0"/>
        <w:spacing w:line="360" w:lineRule="auto"/>
        <w:ind w:left="13" w:right="179" w:firstLine="477"/>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以</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中《分部分项工程和单价措施项目清单与计价表》子目相对应综合单价×（1-中标下浮率）。</w:t>
      </w:r>
    </w:p>
    <w:p w14:paraId="46262E2E">
      <w:pPr>
        <w:keepNext w:val="0"/>
        <w:keepLines w:val="0"/>
        <w:pageBreakBefore w:val="0"/>
        <w:kinsoku/>
        <w:wordWrap w:val="0"/>
        <w:overflowPunct/>
        <w:topLinePunct/>
        <w:bidi w:val="0"/>
        <w:adjustRightInd w:val="0"/>
        <w:snapToGrid w:val="0"/>
        <w:spacing w:line="360" w:lineRule="auto"/>
        <w:ind w:left="13" w:right="179" w:firstLine="477"/>
        <w:rPr>
          <w:rFonts w:hint="eastAsia" w:ascii="宋体" w:hAnsi="宋体" w:eastAsia="宋体" w:cs="宋体"/>
          <w:b/>
          <w:bCs/>
          <w:color w:val="auto"/>
          <w:spacing w:val="0"/>
          <w:sz w:val="24"/>
          <w:szCs w:val="24"/>
          <w:highlight w:val="none"/>
        </w:rPr>
      </w:pPr>
      <w:bookmarkStart w:id="155" w:name="_Toc12035"/>
      <w:bookmarkStart w:id="156" w:name="_Toc18478"/>
      <w:bookmarkStart w:id="157" w:name="_Toc30068"/>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val="en-US" w:eastAsia="zh-CN"/>
        </w:rPr>
        <w:t>安全生产</w:t>
      </w:r>
      <w:r>
        <w:rPr>
          <w:rFonts w:hint="eastAsia" w:ascii="宋体" w:hAnsi="宋体" w:eastAsia="宋体" w:cs="宋体"/>
          <w:b/>
          <w:bCs/>
          <w:color w:val="auto"/>
          <w:spacing w:val="0"/>
          <w:sz w:val="24"/>
          <w:szCs w:val="24"/>
          <w:highlight w:val="none"/>
          <w:lang w:eastAsia="zh-CN"/>
        </w:rPr>
        <w:t>措施费</w:t>
      </w:r>
      <w:r>
        <w:rPr>
          <w:rFonts w:hint="eastAsia" w:ascii="宋体" w:hAnsi="宋体" w:eastAsia="宋体" w:cs="宋体"/>
          <w:b/>
          <w:bCs/>
          <w:color w:val="auto"/>
          <w:spacing w:val="0"/>
          <w:sz w:val="24"/>
          <w:szCs w:val="24"/>
          <w:highlight w:val="none"/>
        </w:rPr>
        <w:t>-暂列金额-暂估价）/（</w:t>
      </w:r>
      <w:bookmarkEnd w:id="155"/>
      <w:bookmarkEnd w:id="156"/>
      <w:bookmarkStart w:id="158" w:name="_Toc13602"/>
      <w:bookmarkStart w:id="159" w:name="_Toc15512"/>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最高投标限价安全生产</w:t>
      </w:r>
      <w:r>
        <w:rPr>
          <w:rFonts w:hint="eastAsia" w:ascii="宋体" w:hAnsi="宋体" w:eastAsia="宋体" w:cs="宋体"/>
          <w:b/>
          <w:bCs/>
          <w:color w:val="auto"/>
          <w:spacing w:val="0"/>
          <w:sz w:val="24"/>
          <w:szCs w:val="24"/>
          <w:highlight w:val="none"/>
          <w:lang w:eastAsia="zh-CN"/>
        </w:rPr>
        <w:t>措施费</w:t>
      </w:r>
      <w:r>
        <w:rPr>
          <w:rFonts w:hint="eastAsia" w:ascii="宋体" w:hAnsi="宋体" w:eastAsia="宋体" w:cs="宋体"/>
          <w:b/>
          <w:bCs/>
          <w:color w:val="auto"/>
          <w:spacing w:val="0"/>
          <w:sz w:val="24"/>
          <w:szCs w:val="24"/>
          <w:highlight w:val="none"/>
        </w:rPr>
        <w:t>-暂列金额-暂估价）] ×100%</w:t>
      </w:r>
      <w:bookmarkEnd w:id="157"/>
      <w:bookmarkEnd w:id="158"/>
      <w:bookmarkEnd w:id="159"/>
    </w:p>
    <w:p w14:paraId="2A60B9A4">
      <w:pPr>
        <w:keepNext w:val="0"/>
        <w:keepLines w:val="0"/>
        <w:pageBreakBefore w:val="0"/>
        <w:kinsoku/>
        <w:wordWrap w:val="0"/>
        <w:overflowPunct/>
        <w:topLinePunct/>
        <w:bidi w:val="0"/>
        <w:adjustRightInd w:val="0"/>
        <w:snapToGrid w:val="0"/>
        <w:spacing w:line="360" w:lineRule="auto"/>
        <w:ind w:left="10" w:right="116" w:firstLine="48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2E406193">
      <w:pPr>
        <w:keepNext w:val="0"/>
        <w:keepLines w:val="0"/>
        <w:pageBreakBefore w:val="0"/>
        <w:kinsoku/>
        <w:wordWrap w:val="0"/>
        <w:overflowPunct/>
        <w:topLinePunct/>
        <w:bidi w:val="0"/>
        <w:adjustRightInd w:val="0"/>
        <w:snapToGrid w:val="0"/>
        <w:spacing w:line="360" w:lineRule="auto"/>
        <w:ind w:left="12" w:right="17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如果工程量出现本章第 </w:t>
      </w:r>
      <w:r>
        <w:rPr>
          <w:rFonts w:hint="eastAsia" w:ascii="宋体" w:hAnsi="宋体" w:eastAsia="宋体" w:cs="宋体"/>
          <w:b/>
          <w:bCs/>
          <w:color w:val="auto"/>
          <w:spacing w:val="0"/>
          <w:sz w:val="24"/>
          <w:szCs w:val="24"/>
          <w:highlight w:val="none"/>
        </w:rPr>
        <w:t xml:space="preserve">2.3.2.1 </w:t>
      </w:r>
      <w:r>
        <w:rPr>
          <w:rFonts w:hint="eastAsia" w:ascii="宋体" w:hAnsi="宋体" w:eastAsia="宋体" w:cs="宋体"/>
          <w:color w:val="auto"/>
          <w:spacing w:val="0"/>
          <w:sz w:val="24"/>
          <w:szCs w:val="24"/>
          <w:highlight w:val="none"/>
        </w:rPr>
        <w:t>子目的变化，且该变化引起相关措施项目相应发生变化时，按系数或单一总价方式计价的，工程量增加的措施项目费调增，工程量减少的措施项目费调减。</w:t>
      </w:r>
    </w:p>
    <w:p w14:paraId="7CE829E5">
      <w:pPr>
        <w:keepNext w:val="0"/>
        <w:keepLines w:val="0"/>
        <w:pageBreakBefore w:val="0"/>
        <w:kinsoku/>
        <w:wordWrap w:val="0"/>
        <w:overflowPunct/>
        <w:topLinePunct/>
        <w:bidi w:val="0"/>
        <w:adjustRightInd w:val="0"/>
        <w:snapToGrid w:val="0"/>
        <w:spacing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工程变更</w:t>
      </w:r>
    </w:p>
    <w:p w14:paraId="6B1A27DF">
      <w:pPr>
        <w:keepNext w:val="0"/>
        <w:keepLines w:val="0"/>
        <w:pageBreakBefore w:val="0"/>
        <w:kinsoku/>
        <w:wordWrap w:val="0"/>
        <w:overflowPunct/>
        <w:topLinePunct/>
        <w:bidi w:val="0"/>
        <w:adjustRightInd w:val="0"/>
        <w:snapToGrid w:val="0"/>
        <w:spacing w:line="360" w:lineRule="auto"/>
        <w:ind w:left="19" w:right="179" w:firstLine="4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合同履行期间，因工程变更引起已标价工程量清单项目发生变化时，按照以下规定调整：</w:t>
      </w:r>
    </w:p>
    <w:p w14:paraId="0C5680AF">
      <w:pPr>
        <w:keepNext w:val="0"/>
        <w:keepLines w:val="0"/>
        <w:pageBreakBefore w:val="0"/>
        <w:numPr>
          <w:ilvl w:val="0"/>
          <w:numId w:val="2"/>
        </w:numPr>
        <w:kinsoku/>
        <w:wordWrap w:val="0"/>
        <w:overflowPunct/>
        <w:topLinePunct/>
        <w:bidi w:val="0"/>
        <w:adjustRightInd w:val="0"/>
        <w:snapToGrid w:val="0"/>
        <w:spacing w:line="360" w:lineRule="auto"/>
        <w:ind w:firstLine="240" w:firstLineChars="100"/>
        <w:rPr>
          <w:rFonts w:hint="eastAsia" w:ascii="宋体" w:hAnsi="宋体" w:eastAsia="宋体" w:cs="宋体"/>
          <w:b/>
          <w:bCs/>
          <w:color w:val="auto"/>
          <w:spacing w:val="0"/>
          <w:sz w:val="24"/>
          <w:szCs w:val="24"/>
          <w:highlight w:val="none"/>
        </w:rPr>
      </w:pPr>
      <w:r>
        <w:rPr>
          <w:rFonts w:hint="eastAsia" w:ascii="宋体" w:hAnsi="宋体" w:eastAsia="宋体" w:cs="宋体"/>
          <w:color w:val="auto"/>
          <w:spacing w:val="0"/>
          <w:sz w:val="24"/>
          <w:szCs w:val="24"/>
          <w:highlight w:val="none"/>
        </w:rPr>
        <w:t>已标价工程量清单中有适用于变更工程项目的，采用该项目的单价。</w:t>
      </w:r>
      <w:r>
        <w:rPr>
          <w:rFonts w:hint="eastAsia" w:ascii="宋体" w:hAnsi="宋体" w:eastAsia="宋体" w:cs="宋体"/>
          <w:b/>
          <w:bCs/>
          <w:color w:val="auto"/>
          <w:spacing w:val="0"/>
          <w:sz w:val="24"/>
          <w:szCs w:val="24"/>
          <w:highlight w:val="none"/>
        </w:rPr>
        <w:t>但如果</w:t>
      </w:r>
      <w:bookmarkStart w:id="160" w:name="bookmark143"/>
      <w:bookmarkEnd w:id="160"/>
      <w:r>
        <w:rPr>
          <w:rFonts w:hint="eastAsia" w:ascii="宋体" w:hAnsi="宋体" w:eastAsia="宋体" w:cs="宋体"/>
          <w:b/>
          <w:bCs/>
          <w:color w:val="auto"/>
          <w:spacing w:val="0"/>
          <w:sz w:val="24"/>
          <w:szCs w:val="24"/>
          <w:highlight w:val="none"/>
        </w:rPr>
        <w:t>被采用的项目属于按照第二章“中标人须知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条被认定为不平衡报价的清单项目，变更工程项目的单价按照本章 2.3.2.1 的方法调整。】</w:t>
      </w:r>
    </w:p>
    <w:p w14:paraId="6BAEFE37">
      <w:pPr>
        <w:keepNext w:val="0"/>
        <w:keepLines w:val="0"/>
        <w:pageBreakBefore w:val="0"/>
        <w:numPr>
          <w:ilvl w:val="0"/>
          <w:numId w:val="0"/>
        </w:numPr>
        <w:kinsoku/>
        <w:wordWrap w:val="0"/>
        <w:overflowPunct/>
        <w:topLinePunct/>
        <w:bidi w:val="0"/>
        <w:adjustRightInd w:val="0"/>
        <w:snapToGrid w:val="0"/>
        <w:spacing w:line="36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已标价工程量清单中没有适用但有类似于变更工程项目的，可在合理范围内参照类似项目的单价。</w:t>
      </w:r>
      <w:r>
        <w:rPr>
          <w:rFonts w:hint="eastAsia" w:ascii="宋体" w:hAnsi="宋体" w:eastAsia="宋体" w:cs="宋体"/>
          <w:b/>
          <w:bCs/>
          <w:color w:val="auto"/>
          <w:spacing w:val="0"/>
          <w:sz w:val="24"/>
          <w:szCs w:val="24"/>
          <w:highlight w:val="none"/>
        </w:rPr>
        <w:t>但如果被参考的类似项目属于按照第二章“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4.2条被认定为不平衡报价的清单项目，变更工程项目的单价按照本章2.3.2.1 的方法调整。</w:t>
      </w:r>
    </w:p>
    <w:p w14:paraId="28984526">
      <w:pPr>
        <w:keepNext w:val="0"/>
        <w:keepLines w:val="0"/>
        <w:pageBreakBefore w:val="0"/>
        <w:numPr>
          <w:ilvl w:val="0"/>
          <w:numId w:val="0"/>
        </w:numPr>
        <w:kinsoku/>
        <w:wordWrap w:val="0"/>
        <w:overflowPunct/>
        <w:topLinePunct/>
        <w:bidi w:val="0"/>
        <w:adjustRightInd w:val="0"/>
        <w:snapToGrid w:val="0"/>
        <w:spacing w:line="360" w:lineRule="auto"/>
        <w:ind w:right="81" w:rightChars="0" w:firstLine="240" w:firstLineChars="1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1E3068E0">
      <w:pPr>
        <w:keepNext w:val="0"/>
        <w:keepLines w:val="0"/>
        <w:pageBreakBefore w:val="0"/>
        <w:kinsoku/>
        <w:wordWrap w:val="0"/>
        <w:overflowPunct/>
        <w:topLinePunct/>
        <w:bidi w:val="0"/>
        <w:adjustRightInd w:val="0"/>
        <w:snapToGrid w:val="0"/>
        <w:spacing w:line="360" w:lineRule="auto"/>
        <w:ind w:left="29" w:right="21" w:firstLine="50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val="en-US" w:eastAsia="zh-CN"/>
        </w:rPr>
        <w:t>安全生产</w:t>
      </w:r>
      <w:r>
        <w:rPr>
          <w:rFonts w:hint="eastAsia" w:ascii="宋体" w:hAnsi="宋体" w:eastAsia="宋体" w:cs="宋体"/>
          <w:b/>
          <w:bCs/>
          <w:color w:val="auto"/>
          <w:spacing w:val="0"/>
          <w:sz w:val="24"/>
          <w:szCs w:val="24"/>
          <w:highlight w:val="none"/>
          <w:lang w:eastAsia="zh-CN"/>
        </w:rPr>
        <w:t>措施费</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最高投标限价安全生产</w:t>
      </w:r>
      <w:r>
        <w:rPr>
          <w:rFonts w:hint="eastAsia" w:ascii="宋体" w:hAnsi="宋体" w:eastAsia="宋体" w:cs="宋体"/>
          <w:b/>
          <w:bCs/>
          <w:color w:val="auto"/>
          <w:spacing w:val="0"/>
          <w:sz w:val="24"/>
          <w:szCs w:val="24"/>
          <w:highlight w:val="none"/>
          <w:lang w:eastAsia="zh-CN"/>
        </w:rPr>
        <w:t>措施费</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×100%</w:t>
      </w:r>
    </w:p>
    <w:p w14:paraId="05CFE093">
      <w:pPr>
        <w:keepNext w:val="0"/>
        <w:keepLines w:val="0"/>
        <w:pageBreakBefore w:val="0"/>
        <w:kinsoku/>
        <w:wordWrap w:val="0"/>
        <w:overflowPunct/>
        <w:topLinePunct/>
        <w:bidi w:val="0"/>
        <w:adjustRightInd w:val="0"/>
        <w:snapToGrid w:val="0"/>
        <w:spacing w:line="360" w:lineRule="auto"/>
        <w:ind w:right="81" w:firstLine="240" w:firstLineChars="100"/>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w:t>
      </w:r>
      <w:r>
        <w:rPr>
          <w:rFonts w:hint="eastAsia" w:ascii="宋体" w:hAnsi="宋体" w:eastAsia="宋体" w:cs="宋体"/>
          <w:snapToGrid w:val="0"/>
          <w:color w:val="auto"/>
          <w:spacing w:val="0"/>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3F208846">
      <w:pPr>
        <w:keepNext w:val="0"/>
        <w:keepLines w:val="0"/>
        <w:pageBreakBefore w:val="0"/>
        <w:kinsoku/>
        <w:wordWrap w:val="0"/>
        <w:overflowPunct/>
        <w:topLinePunct/>
        <w:bidi w:val="0"/>
        <w:adjustRightInd w:val="0"/>
        <w:snapToGrid w:val="0"/>
        <w:spacing w:line="360"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36E4862D">
      <w:pPr>
        <w:keepNext w:val="0"/>
        <w:keepLines w:val="0"/>
        <w:pageBreakBefore w:val="0"/>
        <w:kinsoku/>
        <w:wordWrap w:val="0"/>
        <w:overflowPunct/>
        <w:topLinePunct/>
        <w:bidi w:val="0"/>
        <w:adjustRightInd w:val="0"/>
        <w:snapToGrid w:val="0"/>
        <w:spacing w:line="360" w:lineRule="auto"/>
        <w:ind w:left="4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val="en-US" w:eastAsia="zh-CN"/>
        </w:rPr>
        <w:t>安全生产</w:t>
      </w:r>
      <w:r>
        <w:rPr>
          <w:rFonts w:hint="eastAsia" w:ascii="宋体" w:hAnsi="宋体" w:eastAsia="宋体" w:cs="宋体"/>
          <w:color w:val="auto"/>
          <w:spacing w:val="0"/>
          <w:sz w:val="24"/>
          <w:szCs w:val="24"/>
          <w:highlight w:val="none"/>
          <w:lang w:eastAsia="zh-CN"/>
        </w:rPr>
        <w:t>措施费</w:t>
      </w:r>
      <w:r>
        <w:rPr>
          <w:rFonts w:hint="eastAsia" w:ascii="宋体" w:hAnsi="宋体" w:eastAsia="宋体" w:cs="宋体"/>
          <w:color w:val="auto"/>
          <w:spacing w:val="0"/>
          <w:sz w:val="24"/>
          <w:szCs w:val="24"/>
          <w:highlight w:val="none"/>
        </w:rPr>
        <w:t>应按照实际发生变化的措施项目计算。</w:t>
      </w:r>
    </w:p>
    <w:p w14:paraId="4372DB67">
      <w:pPr>
        <w:keepNext w:val="0"/>
        <w:keepLines w:val="0"/>
        <w:pageBreakBefore w:val="0"/>
        <w:kinsoku/>
        <w:wordWrap w:val="0"/>
        <w:overflowPunct/>
        <w:topLinePunct/>
        <w:bidi w:val="0"/>
        <w:adjustRightInd w:val="0"/>
        <w:snapToGrid w:val="0"/>
        <w:spacing w:line="360"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（2）采用单价计算的措施项目费，应按照实际发生变化的措施项目，按本章第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w:t>
      </w:r>
    </w:p>
    <w:p w14:paraId="10D193AF">
      <w:pPr>
        <w:keepNext w:val="0"/>
        <w:keepLines w:val="0"/>
        <w:pageBreakBefore w:val="0"/>
        <w:kinsoku/>
        <w:wordWrap w:val="0"/>
        <w:overflowPunct/>
        <w:topLinePunct/>
        <w:bidi w:val="0"/>
        <w:adjustRightInd w:val="0"/>
        <w:snapToGrid w:val="0"/>
        <w:spacing w:line="360" w:lineRule="auto"/>
        <w:ind w:left="8"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（3）按总价或系数计算的措施项目费，应按照实际发生变化的措施项目费调整并考虑中标下浮率因素，即调整金额＝按照实际变化调整后的金额×（1-中标下浮率）。</w:t>
      </w:r>
    </w:p>
    <w:p w14:paraId="1570181C">
      <w:pPr>
        <w:keepNext w:val="0"/>
        <w:keepLines w:val="0"/>
        <w:pageBreakBefore w:val="0"/>
        <w:kinsoku/>
        <w:wordWrap w:val="0"/>
        <w:overflowPunct/>
        <w:topLinePunct/>
        <w:bidi w:val="0"/>
        <w:adjustRightInd w:val="0"/>
        <w:snapToGrid w:val="0"/>
        <w:spacing w:line="360" w:lineRule="auto"/>
        <w:ind w:left="21" w:right="81" w:firstLine="47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如果承包人未事先将拟实施的方案提交发包人确认，视为工程变更不引起措施项目费的调整或承包人放弃调整措施项目费的权利。</w:t>
      </w:r>
    </w:p>
    <w:p w14:paraId="0A85001C">
      <w:pPr>
        <w:keepNext w:val="0"/>
        <w:keepLines w:val="0"/>
        <w:pageBreakBefore w:val="0"/>
        <w:kinsoku/>
        <w:wordWrap w:val="0"/>
        <w:overflowPunct/>
        <w:topLinePunct/>
        <w:bidi w:val="0"/>
        <w:adjustRightInd w:val="0"/>
        <w:snapToGrid w:val="0"/>
        <w:spacing w:line="360" w:lineRule="auto"/>
        <w:ind w:right="81" w:firstLine="42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312C355F">
      <w:pPr>
        <w:keepNext w:val="0"/>
        <w:keepLines w:val="0"/>
        <w:pageBreakBefore w:val="0"/>
        <w:kinsoku/>
        <w:wordWrap w:val="0"/>
        <w:overflowPunct/>
        <w:topLinePunct/>
        <w:bidi w:val="0"/>
        <w:adjustRightInd w:val="0"/>
        <w:snapToGrid w:val="0"/>
        <w:spacing w:line="360"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2.3.4  </w:t>
      </w:r>
      <w:r>
        <w:rPr>
          <w:rFonts w:hint="eastAsia" w:ascii="宋体" w:hAnsi="宋体" w:eastAsia="宋体" w:cs="宋体"/>
          <w:color w:val="auto"/>
          <w:spacing w:val="0"/>
          <w:sz w:val="24"/>
          <w:szCs w:val="24"/>
          <w:highlight w:val="none"/>
        </w:rPr>
        <w:t>项目特征不符</w:t>
      </w:r>
    </w:p>
    <w:p w14:paraId="35002180">
      <w:pPr>
        <w:keepNext w:val="0"/>
        <w:keepLines w:val="0"/>
        <w:pageBreakBefore w:val="0"/>
        <w:kinsoku/>
        <w:wordWrap w:val="0"/>
        <w:overflowPunct/>
        <w:topLinePunct/>
        <w:bidi w:val="0"/>
        <w:adjustRightInd w:val="0"/>
        <w:snapToGrid w:val="0"/>
        <w:spacing w:line="360" w:lineRule="auto"/>
        <w:ind w:left="8" w:right="108" w:firstLine="480"/>
        <w:jc w:val="both"/>
        <w:rPr>
          <w:rFonts w:hint="eastAsia" w:ascii="宋体" w:hAnsi="宋体" w:eastAsia="宋体" w:cs="宋体"/>
          <w:color w:val="auto"/>
          <w:spacing w:val="0"/>
          <w:sz w:val="24"/>
          <w:szCs w:val="24"/>
          <w:highlight w:val="none"/>
        </w:rPr>
      </w:pPr>
      <w:bookmarkStart w:id="161" w:name="bookmark144"/>
      <w:bookmarkEnd w:id="161"/>
      <w:r>
        <w:rPr>
          <w:rFonts w:hint="eastAsia" w:ascii="宋体" w:hAnsi="宋体" w:eastAsia="宋体" w:cs="宋体"/>
          <w:color w:val="auto"/>
          <w:spacing w:val="0"/>
          <w:sz w:val="24"/>
          <w:szCs w:val="24"/>
          <w:highlight w:val="none"/>
        </w:rPr>
        <w:t xml:space="preserve">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 </w:t>
      </w: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目相关条款的规定重新确定相应工程量清单项目的综合单价，并调整合同价款。</w:t>
      </w:r>
    </w:p>
    <w:p w14:paraId="2CD3D0D3">
      <w:pPr>
        <w:keepNext w:val="0"/>
        <w:keepLines w:val="0"/>
        <w:pageBreakBefore w:val="0"/>
        <w:kinsoku/>
        <w:wordWrap w:val="0"/>
        <w:overflowPunct/>
        <w:topLinePunct/>
        <w:bidi w:val="0"/>
        <w:adjustRightInd w:val="0"/>
        <w:snapToGrid w:val="0"/>
        <w:spacing w:line="360"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2.3.5  </w:t>
      </w:r>
      <w:r>
        <w:rPr>
          <w:rFonts w:hint="eastAsia" w:ascii="宋体" w:hAnsi="宋体" w:eastAsia="宋体" w:cs="宋体"/>
          <w:color w:val="auto"/>
          <w:spacing w:val="0"/>
          <w:sz w:val="24"/>
          <w:szCs w:val="24"/>
          <w:highlight w:val="none"/>
        </w:rPr>
        <w:t>招标工程量清单缺项</w:t>
      </w:r>
    </w:p>
    <w:p w14:paraId="3ED71370">
      <w:pPr>
        <w:keepNext w:val="0"/>
        <w:keepLines w:val="0"/>
        <w:pageBreakBefore w:val="0"/>
        <w:widowControl/>
        <w:kinsoku/>
        <w:wordWrap w:val="0"/>
        <w:overflowPunct/>
        <w:topLinePunct/>
        <w:autoSpaceDE w:val="0"/>
        <w:autoSpaceDN w:val="0"/>
        <w:bidi w:val="0"/>
        <w:adjustRightInd w:val="0"/>
        <w:snapToGrid w:val="0"/>
        <w:spacing w:line="360" w:lineRule="auto"/>
        <w:ind w:left="9" w:right="56"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合同履行期间，由于招标工程量清单中缺项，新增分部分项工程清单项目，应按照本章第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子目的规定确定单价，并调整合同价款。</w:t>
      </w:r>
    </w:p>
    <w:p w14:paraId="2D0AA613">
      <w:pPr>
        <w:keepNext w:val="0"/>
        <w:keepLines w:val="0"/>
        <w:pageBreakBefore w:val="0"/>
        <w:widowControl/>
        <w:kinsoku/>
        <w:wordWrap w:val="0"/>
        <w:overflowPunct/>
        <w:topLinePunct/>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新增分部分项工程清单项目后，引起措施项目发生变化的，应按照本章第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子目的规定，在承包人提交的实施方案被发包人批准后调整合同价款。</w:t>
      </w:r>
    </w:p>
    <w:p w14:paraId="34985B61">
      <w:pPr>
        <w:keepNext w:val="0"/>
        <w:keepLines w:val="0"/>
        <w:pageBreakBefore w:val="0"/>
        <w:widowControl/>
        <w:kinsoku/>
        <w:wordWrap w:val="0"/>
        <w:overflowPunct/>
        <w:topLinePunct/>
        <w:autoSpaceDE w:val="0"/>
        <w:autoSpaceDN w:val="0"/>
        <w:bidi w:val="0"/>
        <w:adjustRightInd w:val="0"/>
        <w:snapToGrid w:val="0"/>
        <w:spacing w:line="360" w:lineRule="auto"/>
        <w:ind w:left="11" w:right="108" w:firstLine="471"/>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由于招标工程量清单中措施项目缺项，承包人应将新增措施项目实施方案提交发包人批准后，按照本章第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 xml:space="preserve">子目、第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子目的规定调整合同价款。</w:t>
      </w:r>
    </w:p>
    <w:p w14:paraId="42546253">
      <w:pPr>
        <w:keepNext w:val="0"/>
        <w:keepLines w:val="0"/>
        <w:pageBreakBefore w:val="0"/>
        <w:kinsoku/>
        <w:wordWrap w:val="0"/>
        <w:overflowPunct/>
        <w:topLinePunct/>
        <w:bidi w:val="0"/>
        <w:adjustRightInd w:val="0"/>
        <w:snapToGrid w:val="0"/>
        <w:spacing w:line="360"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2.3.6  </w:t>
      </w:r>
      <w:r>
        <w:rPr>
          <w:rFonts w:hint="eastAsia" w:ascii="宋体" w:hAnsi="宋体" w:eastAsia="宋体" w:cs="宋体"/>
          <w:color w:val="auto"/>
          <w:spacing w:val="0"/>
          <w:sz w:val="24"/>
          <w:szCs w:val="24"/>
          <w:highlight w:val="none"/>
        </w:rPr>
        <w:t>物价变化</w:t>
      </w:r>
    </w:p>
    <w:p w14:paraId="1329FF7C">
      <w:pPr>
        <w:keepNext w:val="0"/>
        <w:keepLines w:val="0"/>
        <w:pageBreakBefore w:val="0"/>
        <w:kinsoku/>
        <w:wordWrap w:val="0"/>
        <w:overflowPunct/>
        <w:topLinePunct/>
        <w:bidi w:val="0"/>
        <w:adjustRightInd w:val="0"/>
        <w:snapToGrid w:val="0"/>
        <w:spacing w:line="360" w:lineRule="auto"/>
        <w:ind w:left="8" w:right="108"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项目所在地工程造价管理机构发布的动态人工调整系数发生变化时，如果承包人投标报价中人工费（以下简称“中标人工费”）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5988C29E">
      <w:pPr>
        <w:keepNext w:val="0"/>
        <w:keepLines w:val="0"/>
        <w:pageBreakBefore w:val="0"/>
        <w:kinsoku/>
        <w:wordWrap w:val="0"/>
        <w:overflowPunct/>
        <w:topLinePunct/>
        <w:bidi w:val="0"/>
        <w:adjustRightInd w:val="0"/>
        <w:snapToGrid w:val="0"/>
        <w:spacing w:line="360" w:lineRule="auto"/>
        <w:ind w:left="494"/>
        <w:rPr>
          <w:rFonts w:hint="eastAsia" w:ascii="宋体" w:hAnsi="宋体" w:eastAsia="宋体" w:cs="宋体"/>
          <w:color w:val="auto"/>
          <w:spacing w:val="0"/>
          <w:sz w:val="15"/>
          <w:szCs w:val="15"/>
          <w:highlight w:val="none"/>
        </w:rPr>
      </w:pPr>
      <w:r>
        <w:rPr>
          <w:rFonts w:hint="eastAsia" w:ascii="宋体" w:hAnsi="宋体" w:eastAsia="宋体" w:cs="宋体"/>
          <w:color w:val="auto"/>
          <w:spacing w:val="0"/>
          <w:sz w:val="24"/>
          <w:szCs w:val="24"/>
          <w:highlight w:val="none"/>
        </w:rPr>
        <w:t>结算人工费＝中标人工费×F</w:t>
      </w:r>
      <w:r>
        <w:rPr>
          <w:rFonts w:hint="eastAsia" w:ascii="宋体" w:hAnsi="宋体" w:eastAsia="宋体" w:cs="宋体"/>
          <w:color w:val="auto"/>
          <w:spacing w:val="0"/>
          <w:position w:val="-1"/>
          <w:sz w:val="15"/>
          <w:szCs w:val="15"/>
          <w:highlight w:val="none"/>
        </w:rPr>
        <w:t>1</w:t>
      </w:r>
    </w:p>
    <w:p w14:paraId="20559217">
      <w:pPr>
        <w:keepNext w:val="0"/>
        <w:keepLines w:val="0"/>
        <w:pageBreakBefore w:val="0"/>
        <w:kinsoku/>
        <w:wordWrap w:val="0"/>
        <w:overflowPunct/>
        <w:topLinePunct/>
        <w:bidi w:val="0"/>
        <w:adjustRightInd w:val="0"/>
        <w:snapToGrid w:val="0"/>
        <w:spacing w:line="36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式中，F</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为施工当月项目所在地工程造价管理机构发布的动态人工调整系数。</w:t>
      </w:r>
    </w:p>
    <w:p w14:paraId="21597BCB">
      <w:pPr>
        <w:keepNext w:val="0"/>
        <w:keepLines w:val="0"/>
        <w:pageBreakBefore w:val="0"/>
        <w:kinsoku/>
        <w:wordWrap w:val="0"/>
        <w:overflowPunct/>
        <w:topLinePunct/>
        <w:bidi w:val="0"/>
        <w:adjustRightInd w:val="0"/>
        <w:snapToGrid w:val="0"/>
        <w:spacing w:line="360" w:lineRule="auto"/>
        <w:ind w:left="1" w:right="108" w:firstLine="48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"2.3.6.2"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2.3.6.2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本招标项目约定，材料、工程设备单价涨跌风险幅度值 A 为</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。合同履行期间，当《承包人提供主要材料和工程设备一览表》（详见招标工程量清单）中的材料、工程设备单价涨跌幅度等于或低于 A 值时，该材料、工程设备单价不予调整；超过A 值时，其超过部分可以调整。相关费用按有关规定进行相应调整。</w:t>
      </w:r>
    </w:p>
    <w:p w14:paraId="469966B0">
      <w:pPr>
        <w:keepNext w:val="0"/>
        <w:keepLines w:val="0"/>
        <w:pageBreakBefore w:val="0"/>
        <w:kinsoku/>
        <w:wordWrap w:val="0"/>
        <w:overflowPunct/>
        <w:topLinePunct/>
        <w:bidi w:val="0"/>
        <w:adjustRightInd w:val="0"/>
        <w:snapToGrid w:val="0"/>
        <w:spacing w:line="360" w:lineRule="auto"/>
        <w:ind w:left="11" w:right="108" w:firstLine="477"/>
        <w:jc w:val="both"/>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3F33F410">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a．涨价时，</w:t>
      </w:r>
      <w:r>
        <w:rPr>
          <w:rFonts w:hint="eastAsia" w:ascii="宋体" w:hAnsi="宋体" w:eastAsia="宋体" w:cs="宋体"/>
          <w:snapToGrid w:val="0"/>
          <w:color w:val="auto"/>
          <w:spacing w:val="0"/>
          <w:kern w:val="0"/>
          <w:position w:val="-30"/>
          <w:sz w:val="24"/>
          <w:szCs w:val="24"/>
          <w:highlight w:val="none"/>
        </w:rPr>
        <w:object>
          <v:shape id="_x0000_i1025" o:spt="75" type="#_x0000_t75" style="height:33.95pt;width:200.95pt;" o:ole="t" filled="f" o:preferrelative="t" stroked="f" coordsize="21600,21600">
            <v:path/>
            <v:fill on="f" focussize="0,0"/>
            <v:stroke on="f"/>
            <v:imagedata r:id="rId28" embosscolor="#FFFFFF" o:title=""/>
            <o:lock v:ext="edit" grouping="f" rotation="f" text="f" aspectratio="t"/>
            <w10:wrap type="none"/>
            <w10:anchorlock/>
          </v:shape>
          <o:OLEObject Type="Embed" ProgID="Equation.KSEE3" ShapeID="_x0000_i1025" DrawAspect="Content" ObjectID="_1468075725" r:id="rId27">
            <o:LockedField>false</o:LockedField>
          </o:OLEObject>
        </w:object>
      </w:r>
    </w:p>
    <w:p w14:paraId="57EFC484">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6" o:spt="75" type="#_x0000_t75" style="height:33.95pt;width:198.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6" DrawAspect="Content" ObjectID="_1468075726" r:id="rId29">
            <o:LockedField>false</o:LockedField>
          </o:OLEObject>
        </w:object>
      </w:r>
    </w:p>
    <w:p w14:paraId="2C32F5CE">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b．涨价时，</w:t>
      </w:r>
      <w:r>
        <w:rPr>
          <w:rFonts w:hint="eastAsia" w:ascii="宋体" w:hAnsi="宋体" w:eastAsia="宋体" w:cs="宋体"/>
          <w:snapToGrid w:val="0"/>
          <w:color w:val="auto"/>
          <w:spacing w:val="0"/>
          <w:kern w:val="0"/>
          <w:position w:val="-30"/>
          <w:sz w:val="24"/>
          <w:szCs w:val="24"/>
          <w:highlight w:val="none"/>
        </w:rPr>
        <w:object>
          <v:shape id="_x0000_i1027"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7" DrawAspect="Content" ObjectID="_1468075727" r:id="rId31">
            <o:LockedField>false</o:LockedField>
          </o:OLEObject>
        </w:object>
      </w:r>
    </w:p>
    <w:p w14:paraId="55C66081">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8" o:spt="75" type="#_x0000_t75" style="height:33.95pt;width:200.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8" DrawAspect="Content" ObjectID="_1468075728" r:id="rId33">
            <o:LockedField>false</o:LockedField>
          </o:OLEObject>
        </w:object>
      </w:r>
    </w:p>
    <w:p w14:paraId="2218DDCB">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c．涨价时，</w:t>
      </w:r>
      <w:r>
        <w:rPr>
          <w:rFonts w:hint="eastAsia" w:ascii="宋体" w:hAnsi="宋体" w:eastAsia="宋体" w:cs="宋体"/>
          <w:snapToGrid w:val="0"/>
          <w:color w:val="auto"/>
          <w:spacing w:val="0"/>
          <w:kern w:val="0"/>
          <w:position w:val="-30"/>
          <w:sz w:val="24"/>
          <w:szCs w:val="24"/>
          <w:highlight w:val="none"/>
        </w:rPr>
        <w:object>
          <v:shape id="_x0000_i1029"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9" DrawAspect="Content" ObjectID="_1468075729" r:id="rId35">
            <o:LockedField>false</o:LockedField>
          </o:OLEObject>
        </w:object>
      </w:r>
    </w:p>
    <w:p w14:paraId="5BBC084A">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0"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30" DrawAspect="Content" ObjectID="_1468075730" r:id="rId37">
            <o:LockedField>false</o:LockedField>
          </o:OLEObject>
        </w:object>
      </w:r>
    </w:p>
    <w:p w14:paraId="6D499CB1">
      <w:pPr>
        <w:keepNext w:val="0"/>
        <w:keepLines w:val="0"/>
        <w:pageBreakBefore w:val="0"/>
        <w:kinsoku/>
        <w:wordWrap w:val="0"/>
        <w:overflowPunct/>
        <w:topLinePunct/>
        <w:bidi w:val="0"/>
        <w:adjustRightInd w:val="0"/>
        <w:snapToGrid w:val="0"/>
        <w:spacing w:line="360" w:lineRule="auto"/>
        <w:ind w:right="59"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为施工当月项目所在地工程造价管理机构发布的材料、工程设备单价；A 为合同约定的材料、工程设备单价涨跌风险幅度值。</w:t>
      </w:r>
    </w:p>
    <w:p w14:paraId="2D984C9B">
      <w:pPr>
        <w:keepNext w:val="0"/>
        <w:keepLines w:val="0"/>
        <w:pageBreakBefore w:val="0"/>
        <w:kinsoku/>
        <w:wordWrap w:val="0"/>
        <w:overflowPunct/>
        <w:topLinePunct/>
        <w:bidi w:val="0"/>
        <w:adjustRightInd w:val="0"/>
        <w:snapToGrid w:val="0"/>
        <w:spacing w:line="360" w:lineRule="auto"/>
        <w:ind w:right="59" w:firstLine="476"/>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合同履行期间，当《发包人提供材料和工程设备一览表》（详见招标工程量清单）中的材料、工程设备单价发生变化时，由发包人按照实际变化调整，并列入合同价款。</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本项目不执行材料、工程设备单价差额调整</w:t>
      </w:r>
      <w:r>
        <w:rPr>
          <w:rFonts w:hint="eastAsia" w:ascii="宋体" w:hAnsi="宋体" w:eastAsia="宋体" w:cs="宋体"/>
          <w:b/>
          <w:bCs/>
          <w:color w:val="auto"/>
          <w:spacing w:val="0"/>
          <w:sz w:val="24"/>
          <w:szCs w:val="24"/>
          <w:highlight w:val="none"/>
          <w:lang w:eastAsia="zh-CN"/>
        </w:rPr>
        <w:t>）</w:t>
      </w:r>
    </w:p>
    <w:p w14:paraId="225F8AAF">
      <w:pPr>
        <w:keepNext w:val="0"/>
        <w:keepLines w:val="0"/>
        <w:pageBreakBefore w:val="0"/>
        <w:kinsoku/>
        <w:wordWrap w:val="0"/>
        <w:overflowPunct/>
        <w:topLinePunct/>
        <w:bidi w:val="0"/>
        <w:adjustRightInd w:val="0"/>
        <w:snapToGrid w:val="0"/>
        <w:spacing w:line="360" w:lineRule="auto"/>
        <w:ind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"2.3.6.4"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2.3.6.4</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本招标项目约定，施工机具台班单价涨跌风险幅度值 B 为</w:t>
      </w:r>
      <w:r>
        <w:rPr>
          <w:rFonts w:hint="eastAsia" w:ascii="宋体" w:hAnsi="宋体" w:eastAsia="宋体" w:cs="宋体"/>
          <w:color w:val="auto"/>
          <w:spacing w:val="0"/>
          <w:sz w:val="24"/>
          <w:szCs w:val="24"/>
          <w:highlight w:val="none"/>
          <w:u w:val="single"/>
        </w:rPr>
        <w:t xml:space="preserve">  10%  </w:t>
      </w:r>
      <w:r>
        <w:rPr>
          <w:rFonts w:hint="eastAsia" w:ascii="宋体" w:hAnsi="宋体" w:eastAsia="宋体" w:cs="宋体"/>
          <w:color w:val="auto"/>
          <w:spacing w:val="0"/>
          <w:sz w:val="24"/>
          <w:szCs w:val="24"/>
          <w:highlight w:val="none"/>
        </w:rPr>
        <w:t>。合同履行期间，当施工机具台班单价涨跌幅度等于或低于 B 值时，该施工机具台班单价不予调整；超过 B 值时，其超过部分可以调整。相关费用按有关规定进行相应调整。</w:t>
      </w:r>
    </w:p>
    <w:p w14:paraId="076452A7">
      <w:pPr>
        <w:keepNext w:val="0"/>
        <w:keepLines w:val="0"/>
        <w:pageBreakBefore w:val="0"/>
        <w:kinsoku/>
        <w:wordWrap w:val="0"/>
        <w:overflowPunct/>
        <w:topLinePunct/>
        <w:bidi w:val="0"/>
        <w:adjustRightInd w:val="0"/>
        <w:snapToGrid w:val="0"/>
        <w:spacing w:line="360" w:lineRule="auto"/>
        <w:ind w:left="42" w:right="59" w:firstLine="44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．如果承包人投标报价中施工机具台班单价（以下简称“ 中标单价 ”）低于基准日当月项目所在地工程造价管理机构发布的对应施工机具台班单价（以下简称“基准单价 ”），该施工机具台班的结算单价调整公式为：</w:t>
      </w:r>
    </w:p>
    <w:p w14:paraId="3ABF2821">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1"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1" DrawAspect="Content" ObjectID="_1468075731" r:id="rId39">
            <o:LockedField>false</o:LockedField>
          </o:OLEObject>
        </w:object>
      </w:r>
    </w:p>
    <w:p w14:paraId="558A1E0C">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2" o:spt="75" type="#_x0000_t75" style="height:33.95pt;width:198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2" DrawAspect="Content" ObjectID="_1468075732" r:id="rId41">
            <o:LockedField>false</o:LockedField>
          </o:OLEObject>
        </w:object>
      </w:r>
    </w:p>
    <w:p w14:paraId="0E09C2C2">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b</w:t>
      </w:r>
      <w:r>
        <w:rPr>
          <w:rFonts w:hint="eastAsia" w:ascii="宋体" w:hAnsi="宋体" w:eastAsia="宋体" w:cs="宋体"/>
          <w:snapToGrid w:val="0"/>
          <w:color w:val="auto"/>
          <w:spacing w:val="0"/>
          <w:kern w:val="0"/>
          <w:sz w:val="24"/>
          <w:szCs w:val="24"/>
          <w:highlight w:val="none"/>
        </w:rPr>
        <w:t>．如果中标单价高于基准单价，该施工机具台班的结算单价调整公式为：</w:t>
      </w:r>
    </w:p>
    <w:p w14:paraId="553B8C3E">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3"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3" DrawAspect="Content" ObjectID="_1468075733" r:id="rId43">
            <o:LockedField>false</o:LockedField>
          </o:OLEObject>
        </w:object>
      </w:r>
    </w:p>
    <w:p w14:paraId="173D0D39">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4" o:spt="75" type="#_x0000_t75" style="height:33.95pt;width:200.95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4" DrawAspect="Content" ObjectID="_1468075734" r:id="rId45">
            <o:LockedField>false</o:LockedField>
          </o:OLEObject>
        </w:object>
      </w:r>
    </w:p>
    <w:p w14:paraId="7B95DE37">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c</w:t>
      </w:r>
      <w:r>
        <w:rPr>
          <w:rFonts w:hint="eastAsia" w:ascii="宋体" w:hAnsi="宋体" w:eastAsia="宋体" w:cs="宋体"/>
          <w:snapToGrid w:val="0"/>
          <w:color w:val="auto"/>
          <w:spacing w:val="0"/>
          <w:kern w:val="0"/>
          <w:sz w:val="24"/>
          <w:szCs w:val="24"/>
          <w:highlight w:val="none"/>
        </w:rPr>
        <w:t>．如果中标单价等于基准单价，该施工机具台班的结算单价调整公式为：</w:t>
      </w:r>
    </w:p>
    <w:p w14:paraId="05E67423">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5"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5" DrawAspect="Content" ObjectID="_1468075735" r:id="rId47">
            <o:LockedField>false</o:LockedField>
          </o:OLEObject>
        </w:object>
      </w:r>
    </w:p>
    <w:p w14:paraId="5A694B9F">
      <w:pPr>
        <w:keepNext w:val="0"/>
        <w:keepLines w:val="0"/>
        <w:pageBreakBefore w:val="0"/>
        <w:kinsoku/>
        <w:wordWrap w:val="0"/>
        <w:overflowPunct/>
        <w:topLinePunct/>
        <w:bidi w:val="0"/>
        <w:adjustRightInd w:val="0"/>
        <w:snapToGrid w:val="0"/>
        <w:spacing w:line="360" w:lineRule="auto"/>
        <w:ind w:left="11" w:right="65" w:firstLine="504"/>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6"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6" DrawAspect="Content" ObjectID="_1468075736" r:id="rId49">
            <o:LockedField>false</o:LockedField>
          </o:OLEObject>
        </w:object>
      </w:r>
    </w:p>
    <w:p w14:paraId="4647E227">
      <w:pPr>
        <w:keepNext w:val="0"/>
        <w:keepLines w:val="0"/>
        <w:pageBreakBefore w:val="0"/>
        <w:kinsoku/>
        <w:wordWrap w:val="0"/>
        <w:overflowPunct/>
        <w:topLinePunct/>
        <w:bidi w:val="0"/>
        <w:adjustRightInd w:val="0"/>
        <w:snapToGrid w:val="0"/>
        <w:spacing w:line="360" w:lineRule="auto"/>
        <w:ind w:left="11" w:right="65" w:firstLine="5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为施工当月项目所在地工程造价管理机构发布的施工机具台班单价；B 为合同约定的施工机具台班单价涨跌风险幅度值。</w:t>
      </w:r>
    </w:p>
    <w:p w14:paraId="1BA554A8">
      <w:pPr>
        <w:keepNext w:val="0"/>
        <w:keepLines w:val="0"/>
        <w:pageBreakBefore w:val="0"/>
        <w:kinsoku/>
        <w:wordWrap w:val="0"/>
        <w:overflowPunct/>
        <w:topLinePunct/>
        <w:bidi w:val="0"/>
        <w:adjustRightInd w:val="0"/>
        <w:snapToGrid w:val="0"/>
        <w:spacing w:line="360"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2.3.7  </w:t>
      </w:r>
      <w:r>
        <w:rPr>
          <w:rFonts w:hint="eastAsia" w:ascii="宋体" w:hAnsi="宋体" w:eastAsia="宋体" w:cs="宋体"/>
          <w:color w:val="auto"/>
          <w:spacing w:val="0"/>
          <w:sz w:val="24"/>
          <w:szCs w:val="24"/>
          <w:highlight w:val="none"/>
        </w:rPr>
        <w:t>暂估价和暂列金额</w:t>
      </w:r>
    </w:p>
    <w:p w14:paraId="55A97D72">
      <w:pPr>
        <w:keepNext w:val="0"/>
        <w:keepLines w:val="0"/>
        <w:pageBreakBefore w:val="0"/>
        <w:kinsoku/>
        <w:wordWrap w:val="0"/>
        <w:overflowPunct/>
        <w:topLinePunct/>
        <w:bidi w:val="0"/>
        <w:adjustRightInd w:val="0"/>
        <w:snapToGrid w:val="0"/>
        <w:spacing w:line="360" w:lineRule="auto"/>
        <w:ind w:left="7" w:right="57" w:firstLine="477"/>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snapToGrid w:val="0"/>
          <w:color w:val="auto"/>
          <w:spacing w:val="0"/>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spacing w:val="0"/>
          <w:kern w:val="0"/>
          <w:sz w:val="24"/>
          <w:szCs w:val="24"/>
          <w:highlight w:val="none"/>
          <w:lang w:eastAsia="zh-CN"/>
        </w:rPr>
        <w:t>8.5</w:t>
      </w:r>
      <w:r>
        <w:rPr>
          <w:rFonts w:hint="eastAsia" w:ascii="宋体" w:hAnsi="宋体" w:eastAsia="宋体" w:cs="宋体"/>
          <w:snapToGrid w:val="0"/>
          <w:color w:val="auto"/>
          <w:spacing w:val="0"/>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243143AC">
      <w:pPr>
        <w:keepNext w:val="0"/>
        <w:keepLines w:val="0"/>
        <w:pageBreakBefore w:val="0"/>
        <w:kinsoku/>
        <w:wordWrap w:val="0"/>
        <w:overflowPunct/>
        <w:topLinePunct/>
        <w:bidi w:val="0"/>
        <w:adjustRightInd w:val="0"/>
        <w:snapToGrid w:val="0"/>
        <w:spacing w:line="360"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暂列金额由发包人掌握和使用。暂列金额项目若有发生，按第一章第三节“投标人须知正文 ”第 </w:t>
      </w:r>
      <w:r>
        <w:rPr>
          <w:rFonts w:hint="eastAsia" w:ascii="宋体" w:hAnsi="宋体" w:eastAsia="宋体" w:cs="宋体"/>
          <w:b/>
          <w:bCs/>
          <w:color w:val="auto"/>
          <w:spacing w:val="0"/>
          <w:sz w:val="24"/>
          <w:szCs w:val="24"/>
          <w:highlight w:val="none"/>
        </w:rPr>
        <w:t xml:space="preserve">8.6 </w:t>
      </w:r>
      <w:r>
        <w:rPr>
          <w:rFonts w:hint="eastAsia" w:ascii="宋体" w:hAnsi="宋体" w:eastAsia="宋体" w:cs="宋体"/>
          <w:color w:val="auto"/>
          <w:spacing w:val="0"/>
          <w:sz w:val="24"/>
          <w:szCs w:val="24"/>
          <w:highlight w:val="none"/>
        </w:rPr>
        <w:t>条的规定确定材料供应商（或工程设备供应商、服务供应商）后，材料（或工程设备、服务）的合同价款从暂列金额中支付。暂列金额扣除已发生的暂列 金额项目合同价款、已发生的合同约定调整因素出现时的调整价款、已发生的索赔以及现场签证确认等的费用后，余额（若有）归发包人所有。</w:t>
      </w:r>
    </w:p>
    <w:p w14:paraId="56B20A37">
      <w:pPr>
        <w:keepNext w:val="0"/>
        <w:keepLines w:val="0"/>
        <w:pageBreakBefore w:val="0"/>
        <w:kinsoku/>
        <w:wordWrap w:val="0"/>
        <w:overflowPunct/>
        <w:topLinePunct/>
        <w:bidi w:val="0"/>
        <w:adjustRightInd w:val="0"/>
        <w:snapToGrid w:val="0"/>
        <w:spacing w:line="360"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2.3.8</w:t>
      </w:r>
      <w:r>
        <w:rPr>
          <w:rFonts w:hint="eastAsia" w:ascii="宋体" w:hAnsi="宋体" w:eastAsia="宋体" w:cs="宋体"/>
          <w:color w:val="auto"/>
          <w:spacing w:val="0"/>
          <w:sz w:val="24"/>
          <w:szCs w:val="24"/>
          <w:highlight w:val="none"/>
        </w:rPr>
        <w:t xml:space="preserve"> 预算包干费按照分部分项的人工费与施工机具费之和及投标费率计取。本招标项目的预算包干内容包括：施工雨水、污水的排除；因地形影响造成的场内料具二次运输；20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60CC7ECA">
      <w:pPr>
        <w:keepNext w:val="0"/>
        <w:keepLines w:val="0"/>
        <w:pageBreakBefore w:val="0"/>
        <w:kinsoku/>
        <w:wordWrap w:val="0"/>
        <w:overflowPunct/>
        <w:topLinePunct/>
        <w:bidi w:val="0"/>
        <w:adjustRightInd w:val="0"/>
        <w:snapToGrid w:val="0"/>
        <w:spacing w:line="360"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w:t>
      </w:r>
      <w:r>
        <w:rPr>
          <w:rFonts w:hint="eastAsia" w:ascii="宋体" w:hAnsi="宋体" w:eastAsia="宋体" w:cs="宋体"/>
          <w:b/>
          <w:bCs/>
          <w:color w:val="auto"/>
          <w:spacing w:val="0"/>
          <w:sz w:val="24"/>
          <w:szCs w:val="24"/>
          <w:highlight w:val="none"/>
          <w:lang w:val="en-US" w:eastAsia="zh-CN"/>
        </w:rPr>
        <w:t>9</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其余事项（如不可抗力、索赔、现场签证等）的调整原则按照《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）有关规定执行。</w:t>
      </w:r>
    </w:p>
    <w:p w14:paraId="2F82992D">
      <w:pPr>
        <w:keepNext w:val="0"/>
        <w:keepLines w:val="0"/>
        <w:pageBreakBefore w:val="0"/>
        <w:kinsoku/>
        <w:wordWrap w:val="0"/>
        <w:overflowPunct/>
        <w:topLinePunct/>
        <w:bidi w:val="0"/>
        <w:adjustRightInd w:val="0"/>
        <w:snapToGrid w:val="0"/>
        <w:spacing w:line="360" w:lineRule="auto"/>
        <w:ind w:left="12" w:right="65"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凡将引起合同价款调增的事项，承包人必须于拟实施 14 天前，将详细的报价书（含拟实施项目名称、变更部位、理由、预计造价等）报监理单位审核和发包人批准后方可实施。</w:t>
      </w:r>
    </w:p>
    <w:p w14:paraId="56502BC6">
      <w:pPr>
        <w:keepNext w:val="0"/>
        <w:keepLines w:val="0"/>
        <w:pageBreakBefore w:val="0"/>
        <w:kinsoku/>
        <w:wordWrap w:val="0"/>
        <w:overflowPunct/>
        <w:topLinePunct/>
        <w:bidi w:val="0"/>
        <w:adjustRightInd w:val="0"/>
        <w:snapToGrid w:val="0"/>
        <w:spacing w:line="360" w:lineRule="auto"/>
        <w:ind w:left="9" w:right="102"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承包人不得以不完全了解现场情况为理由，提出额外付款或延长工期等要求。 对此类要求，发包人不作任何考虑及答复。</w:t>
      </w:r>
    </w:p>
    <w:p w14:paraId="223E656F">
      <w:pPr>
        <w:keepNext w:val="0"/>
        <w:keepLines w:val="0"/>
        <w:pageBreakBefore w:val="0"/>
        <w:kinsoku/>
        <w:wordWrap w:val="0"/>
        <w:overflowPunct/>
        <w:topLinePunct/>
        <w:bidi w:val="0"/>
        <w:adjustRightInd w:val="0"/>
        <w:snapToGrid w:val="0"/>
        <w:spacing w:line="360" w:lineRule="auto"/>
        <w:ind w:left="10" w:right="63"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2.6 </w:t>
      </w:r>
      <w:r>
        <w:rPr>
          <w:rFonts w:hint="eastAsia" w:ascii="宋体" w:hAnsi="宋体" w:eastAsia="宋体" w:cs="宋体"/>
          <w:color w:val="auto"/>
          <w:spacing w:val="0"/>
          <w:sz w:val="24"/>
          <w:szCs w:val="24"/>
          <w:highlight w:val="none"/>
        </w:rPr>
        <w:t>承包人已标价工程量清单中漏报、错报或少报的清单项目，其价格均视为已经包含在其它清单项目中，竣工结算时不得重新组价和调整。</w:t>
      </w:r>
    </w:p>
    <w:p w14:paraId="00EFAE55">
      <w:pPr>
        <w:keepNext w:val="0"/>
        <w:keepLines w:val="0"/>
        <w:pageBreakBefore w:val="0"/>
        <w:kinsoku/>
        <w:wordWrap w:val="0"/>
        <w:overflowPunct/>
        <w:topLinePunct/>
        <w:bidi w:val="0"/>
        <w:adjustRightInd w:val="0"/>
        <w:snapToGrid w:val="0"/>
        <w:spacing w:line="360" w:lineRule="auto"/>
        <w:ind w:left="12" w:right="65"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2.7  </w:t>
      </w:r>
      <w:r>
        <w:rPr>
          <w:rFonts w:hint="eastAsia" w:ascii="宋体" w:hAnsi="宋体" w:eastAsia="宋体" w:cs="宋体"/>
          <w:color w:val="auto"/>
          <w:spacing w:val="0"/>
          <w:sz w:val="24"/>
          <w:szCs w:val="24"/>
          <w:highlight w:val="none"/>
        </w:rPr>
        <w:t>项目完工后，发、承包双方和受其委托具备相应资质的工程造价咨询单位必须按照《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）和国家、省、市的有关规定办理竣工结算。</w:t>
      </w:r>
    </w:p>
    <w:p w14:paraId="64F361AC">
      <w:pPr>
        <w:keepNext w:val="0"/>
        <w:keepLines w:val="0"/>
        <w:pageBreakBefore w:val="0"/>
        <w:kinsoku/>
        <w:wordWrap w:val="0"/>
        <w:overflowPunct/>
        <w:topLinePunct/>
        <w:bidi w:val="0"/>
        <w:adjustRightInd w:val="0"/>
        <w:snapToGrid w:val="0"/>
        <w:spacing w:line="360"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2.8  </w:t>
      </w:r>
      <w:r>
        <w:rPr>
          <w:rFonts w:hint="eastAsia" w:ascii="宋体" w:hAnsi="宋体" w:eastAsia="宋体" w:cs="宋体"/>
          <w:color w:val="auto"/>
          <w:spacing w:val="0"/>
          <w:sz w:val="24"/>
          <w:szCs w:val="24"/>
          <w:highlight w:val="none"/>
        </w:rPr>
        <w:t>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 求承包人立即进行更换。更换后的材料（或工程设备）应再次进行检查和检验。由此增 加的费用和（或）工期延误由承包人承担。</w:t>
      </w:r>
    </w:p>
    <w:p w14:paraId="2F579E73">
      <w:pPr>
        <w:keepNext w:val="0"/>
        <w:keepLines w:val="0"/>
        <w:pageBreakBefore w:val="0"/>
        <w:kinsoku/>
        <w:wordWrap w:val="0"/>
        <w:overflowPunct/>
        <w:topLinePunct/>
        <w:bidi w:val="0"/>
        <w:adjustRightInd w:val="0"/>
        <w:snapToGrid w:val="0"/>
        <w:spacing w:line="360"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2.9 </w:t>
      </w:r>
      <w:r>
        <w:rPr>
          <w:rFonts w:hint="eastAsia" w:ascii="宋体" w:hAnsi="宋体" w:eastAsia="宋体" w:cs="宋体"/>
          <w:color w:val="auto"/>
          <w:spacing w:val="0"/>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p>
    <w:p w14:paraId="72079355">
      <w:pPr>
        <w:pStyle w:val="37"/>
        <w:keepNext w:val="0"/>
        <w:keepLines w:val="0"/>
        <w:pageBreakBefore w:val="0"/>
        <w:kinsoku/>
        <w:wordWrap w:val="0"/>
        <w:overflowPunct/>
        <w:topLinePunct/>
        <w:bidi w:val="0"/>
        <w:adjustRightInd w:val="0"/>
        <w:snapToGrid w:val="0"/>
        <w:spacing w:line="360" w:lineRule="auto"/>
        <w:ind w:firstLine="480"/>
        <w:jc w:val="both"/>
        <w:outlineLvl w:val="2"/>
        <w:rPr>
          <w:rStyle w:val="28"/>
          <w:rFonts w:hint="eastAsia" w:ascii="宋体" w:hAnsi="宋体" w:eastAsia="宋体" w:cs="宋体"/>
          <w:b/>
          <w:bCs/>
          <w:color w:val="auto"/>
          <w:spacing w:val="0"/>
          <w:sz w:val="24"/>
          <w:szCs w:val="24"/>
          <w:highlight w:val="none"/>
        </w:rPr>
      </w:pPr>
      <w:bookmarkStart w:id="162" w:name="_Toc20491"/>
      <w:bookmarkStart w:id="163" w:name="_Toc1816"/>
      <w:r>
        <w:rPr>
          <w:rStyle w:val="28"/>
          <w:rFonts w:hint="eastAsia" w:ascii="宋体" w:hAnsi="宋体" w:eastAsia="宋体" w:cs="宋体"/>
          <w:b/>
          <w:bCs/>
          <w:color w:val="auto"/>
          <w:spacing w:val="0"/>
          <w:sz w:val="24"/>
          <w:szCs w:val="24"/>
          <w:highlight w:val="none"/>
        </w:rPr>
        <w:t>3. 工程付款办法</w:t>
      </w:r>
      <w:bookmarkEnd w:id="162"/>
      <w:bookmarkEnd w:id="163"/>
    </w:p>
    <w:p w14:paraId="05117630">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本工程</w:t>
      </w:r>
      <w:r>
        <w:rPr>
          <w:rFonts w:hint="eastAsia" w:ascii="宋体" w:hAnsi="宋体" w:eastAsia="宋体" w:cs="宋体"/>
          <w:snapToGrid w:val="0"/>
          <w:color w:val="auto"/>
          <w:kern w:val="0"/>
          <w:sz w:val="24"/>
          <w:szCs w:val="24"/>
          <w:highlight w:val="none"/>
          <w:u w:val="single"/>
        </w:rPr>
        <w:t xml:space="preserve"> 支付 </w:t>
      </w:r>
      <w:r>
        <w:rPr>
          <w:rFonts w:hint="eastAsia" w:ascii="宋体" w:hAnsi="宋体" w:eastAsia="宋体" w:cs="宋体"/>
          <w:snapToGrid w:val="0"/>
          <w:color w:val="auto"/>
          <w:kern w:val="0"/>
          <w:sz w:val="24"/>
          <w:szCs w:val="24"/>
          <w:highlight w:val="none"/>
        </w:rPr>
        <w:t>施工预付款。</w:t>
      </w:r>
    </w:p>
    <w:p w14:paraId="2A70BA4A">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施工预付款必须专用于合同工程，并按以下原则支付和抵扣：</w:t>
      </w:r>
    </w:p>
    <w:p w14:paraId="1B0B1E27">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3.2.1</w:t>
      </w:r>
      <w:r>
        <w:rPr>
          <w:rFonts w:hint="eastAsia" w:ascii="宋体" w:hAnsi="宋体" w:eastAsia="宋体" w:cs="宋体"/>
          <w:snapToGrid w:val="0"/>
          <w:color w:val="auto"/>
          <w:kern w:val="0"/>
          <w:sz w:val="24"/>
          <w:szCs w:val="24"/>
          <w:highlight w:val="none"/>
        </w:rPr>
        <w:t xml:space="preserve"> 施工预付款支付比例为：按施工合同价的</w:t>
      </w:r>
      <w:r>
        <w:rPr>
          <w:rFonts w:hint="eastAsia" w:ascii="宋体" w:hAnsi="宋体" w:eastAsia="宋体" w:cs="宋体"/>
          <w:snapToGrid w:val="0"/>
          <w:color w:val="auto"/>
          <w:kern w:val="0"/>
          <w:sz w:val="24"/>
          <w:szCs w:val="24"/>
          <w:highlight w:val="none"/>
          <w:u w:val="single"/>
        </w:rPr>
        <w:t xml:space="preserve"> 30% </w:t>
      </w:r>
      <w:r>
        <w:rPr>
          <w:rFonts w:hint="eastAsia" w:ascii="宋体" w:hAnsi="宋体" w:eastAsia="宋体" w:cs="宋体"/>
          <w:snapToGrid w:val="0"/>
          <w:color w:val="auto"/>
          <w:kern w:val="0"/>
          <w:sz w:val="24"/>
          <w:szCs w:val="24"/>
          <w:highlight w:val="none"/>
        </w:rPr>
        <w:t>支付。</w:t>
      </w:r>
    </w:p>
    <w:p w14:paraId="27001D57">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3.2.2</w:t>
      </w:r>
      <w:r>
        <w:rPr>
          <w:rFonts w:hint="eastAsia" w:ascii="宋体" w:hAnsi="宋体" w:eastAsia="宋体" w:cs="宋体"/>
          <w:snapToGrid w:val="0"/>
          <w:color w:val="auto"/>
          <w:kern w:val="0"/>
          <w:sz w:val="24"/>
          <w:szCs w:val="24"/>
          <w:highlight w:val="none"/>
        </w:rPr>
        <w:t xml:space="preserve"> 本招标项目</w:t>
      </w:r>
      <w:r>
        <w:rPr>
          <w:rFonts w:hint="eastAsia" w:ascii="宋体" w:hAnsi="宋体" w:eastAsia="宋体" w:cs="宋体"/>
          <w:b/>
          <w:bCs/>
          <w:snapToGrid w:val="0"/>
          <w:color w:val="auto"/>
          <w:kern w:val="0"/>
          <w:sz w:val="24"/>
          <w:szCs w:val="24"/>
          <w:highlight w:val="none"/>
          <w:u w:val="single"/>
        </w:rPr>
        <w:t>要求</w:t>
      </w:r>
      <w:r>
        <w:rPr>
          <w:rFonts w:hint="eastAsia" w:ascii="宋体" w:hAnsi="宋体" w:eastAsia="宋体" w:cs="宋体"/>
          <w:snapToGrid w:val="0"/>
          <w:color w:val="auto"/>
          <w:kern w:val="0"/>
          <w:sz w:val="24"/>
          <w:szCs w:val="24"/>
          <w:highlight w:val="none"/>
        </w:rPr>
        <w:t>承包人提供与预付款等额的预付款保函。</w:t>
      </w:r>
    </w:p>
    <w:p w14:paraId="131C7272">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3.2.3</w:t>
      </w:r>
      <w:r>
        <w:rPr>
          <w:rFonts w:hint="eastAsia" w:ascii="宋体" w:hAnsi="宋体" w:eastAsia="宋体" w:cs="宋体"/>
          <w:snapToGrid w:val="0"/>
          <w:color w:val="auto"/>
          <w:kern w:val="0"/>
          <w:sz w:val="24"/>
          <w:szCs w:val="24"/>
          <w:highlight w:val="none"/>
        </w:rPr>
        <w:t xml:space="preserve"> 承包人应在签订合同后，在提供符合要求的预付款保函或预付款保险及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7A4033BC">
      <w:pPr>
        <w:keepNext w:val="0"/>
        <w:keepLines w:val="0"/>
        <w:pageBreakBefore w:val="0"/>
        <w:kinsoku/>
        <w:wordWrap w:val="0"/>
        <w:overflowPunct/>
        <w:topLinePunct/>
        <w:bidi w:val="0"/>
        <w:adjustRightInd w:val="0"/>
        <w:snapToGrid w:val="0"/>
        <w:spacing w:line="360" w:lineRule="auto"/>
        <w:ind w:firstLine="482" w:firstLineChars="200"/>
        <w:rPr>
          <w:color w:val="auto"/>
          <w:highlight w:val="none"/>
        </w:rPr>
      </w:pPr>
      <w:r>
        <w:rPr>
          <w:rFonts w:hint="eastAsia" w:ascii="宋体" w:hAnsi="宋体" w:eastAsia="宋体" w:cs="宋体"/>
          <w:b/>
          <w:bCs/>
          <w:snapToGrid w:val="0"/>
          <w:color w:val="auto"/>
          <w:kern w:val="0"/>
          <w:sz w:val="24"/>
          <w:szCs w:val="24"/>
          <w:highlight w:val="none"/>
        </w:rPr>
        <w:t>3.2.4</w:t>
      </w:r>
      <w:r>
        <w:rPr>
          <w:rFonts w:hint="eastAsia" w:ascii="宋体" w:hAnsi="宋体" w:eastAsia="宋体" w:cs="宋体"/>
          <w:snapToGrid w:val="0"/>
          <w:color w:val="auto"/>
          <w:kern w:val="0"/>
          <w:sz w:val="24"/>
          <w:szCs w:val="24"/>
          <w:highlight w:val="none"/>
        </w:rPr>
        <w:t>预付款应从每支付期应支付给承包人的工程进度款中按当期工程进度款的50%扣回，直到扣回的金额达到合同约定的预付款金额为止。</w:t>
      </w:r>
    </w:p>
    <w:p w14:paraId="5D185382">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3.3</w:t>
      </w:r>
      <w:r>
        <w:rPr>
          <w:rFonts w:hint="eastAsia" w:ascii="宋体" w:hAnsi="宋体" w:eastAsia="宋体" w:cs="宋体"/>
          <w:color w:val="auto"/>
          <w:sz w:val="24"/>
          <w:szCs w:val="24"/>
          <w:highlight w:val="none"/>
        </w:rPr>
        <w:t>施工过程中按月支付工程进度款：承包人每月按工程实际完成工程量（含变更及增加工程）申报，承包人必须将《已完成工程量报表》和《工程付款申请书》于当月 26 日前报监理单位核实。经监理单位审核、发包人审定后的工程进度款（指已经按照合同约定，扣除该支付期内因承包人违约而应扣除的管理费），于申报次月支付。</w:t>
      </w:r>
    </w:p>
    <w:p w14:paraId="4A372506">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sz w:val="24"/>
          <w:szCs w:val="24"/>
          <w:highlight w:val="none"/>
        </w:rPr>
        <w:t>3.4</w:t>
      </w:r>
      <w:r>
        <w:rPr>
          <w:rFonts w:hint="eastAsia" w:ascii="宋体" w:hAnsi="宋体" w:eastAsia="宋体" w:cs="宋体"/>
          <w:b/>
          <w:bCs/>
          <w:color w:val="auto"/>
          <w:sz w:val="24"/>
          <w:szCs w:val="24"/>
          <w:highlight w:val="none"/>
          <w:lang w:val="en-US" w:eastAsia="zh-CN"/>
        </w:rPr>
        <w:t xml:space="preserve"> </w:t>
      </w:r>
      <w:bookmarkStart w:id="233" w:name="_GoBack"/>
      <w:bookmarkEnd w:id="233"/>
      <w:r>
        <w:rPr>
          <w:rFonts w:hint="eastAsia" w:ascii="宋体" w:hAnsi="宋体" w:eastAsia="宋体" w:cs="宋体"/>
          <w:color w:val="auto"/>
          <w:sz w:val="24"/>
          <w:szCs w:val="24"/>
          <w:highlight w:val="none"/>
        </w:rPr>
        <w:t>每月的工程进度款按应付金额的</w:t>
      </w: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 支付，工程进度款中的作业工人工资款项由发包人单独足额拨付到承包人的工资专户。</w:t>
      </w:r>
    </w:p>
    <w:p w14:paraId="20C0D622">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措施项目费中的“</w:t>
      </w:r>
      <w:r>
        <w:rPr>
          <w:rFonts w:hint="eastAsia" w:ascii="宋体" w:hAnsi="宋体" w:eastAsia="宋体" w:cs="宋体"/>
          <w:snapToGrid w:val="0"/>
          <w:color w:val="auto"/>
          <w:kern w:val="0"/>
          <w:sz w:val="24"/>
          <w:szCs w:val="24"/>
          <w:highlight w:val="none"/>
          <w:lang w:val="en-US" w:eastAsia="zh-CN"/>
        </w:rPr>
        <w:t>安全生产</w:t>
      </w:r>
      <w:r>
        <w:rPr>
          <w:rFonts w:hint="eastAsia" w:ascii="宋体" w:hAnsi="宋体" w:eastAsia="宋体" w:cs="宋体"/>
          <w:snapToGrid w:val="0"/>
          <w:color w:val="auto"/>
          <w:kern w:val="0"/>
          <w:sz w:val="24"/>
          <w:szCs w:val="24"/>
          <w:highlight w:val="none"/>
          <w:lang w:eastAsia="zh-CN"/>
        </w:rPr>
        <w:t>措施费</w:t>
      </w:r>
      <w:r>
        <w:rPr>
          <w:rFonts w:hint="eastAsia" w:ascii="宋体" w:hAnsi="宋体" w:eastAsia="宋体" w:cs="宋体"/>
          <w:snapToGrid w:val="0"/>
          <w:color w:val="auto"/>
          <w:kern w:val="0"/>
          <w:sz w:val="24"/>
          <w:szCs w:val="24"/>
          <w:highlight w:val="none"/>
        </w:rPr>
        <w:t>”拨付按照《广东省建设工程计价依据（2018）》和《关于调整〈广东省建设工程计价依据2018〉计价规则的通知》（粤标定函〔2025〕22号）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4"/>
          <w:highlight w:val="none"/>
          <w:lang w:val="en-US" w:eastAsia="zh-CN"/>
        </w:rPr>
        <w:t>安全生产</w:t>
      </w:r>
      <w:r>
        <w:rPr>
          <w:rFonts w:hint="eastAsia" w:ascii="宋体" w:hAnsi="宋体" w:eastAsia="宋体" w:cs="宋体"/>
          <w:snapToGrid w:val="0"/>
          <w:color w:val="auto"/>
          <w:kern w:val="0"/>
          <w:sz w:val="24"/>
          <w:szCs w:val="24"/>
          <w:highlight w:val="none"/>
          <w:lang w:eastAsia="zh-CN"/>
        </w:rPr>
        <w:t>措施费</w:t>
      </w:r>
      <w:r>
        <w:rPr>
          <w:rFonts w:hint="eastAsia" w:ascii="宋体" w:hAnsi="宋体" w:eastAsia="宋体" w:cs="宋体"/>
          <w:snapToGrid w:val="0"/>
          <w:color w:val="auto"/>
          <w:kern w:val="0"/>
          <w:sz w:val="24"/>
          <w:szCs w:val="24"/>
          <w:highlight w:val="none"/>
        </w:rPr>
        <w:t>”的工程管理费。</w:t>
      </w:r>
    </w:p>
    <w:p w14:paraId="7FE39DB1">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3.6</w:t>
      </w:r>
      <w:r>
        <w:rPr>
          <w:rFonts w:hint="eastAsia" w:ascii="宋体" w:hAnsi="宋体" w:eastAsia="宋体" w:cs="宋体"/>
          <w:snapToGrid w:val="0"/>
          <w:color w:val="auto"/>
          <w:kern w:val="0"/>
          <w:sz w:val="24"/>
          <w:szCs w:val="24"/>
          <w:highlight w:val="none"/>
        </w:rPr>
        <w:t xml:space="preserve"> 变更工程造价必须经监理单位核实，并经发包人核定后方可支付。</w:t>
      </w:r>
    </w:p>
    <w:p w14:paraId="53DB83DA">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3.7</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lang w:val="en-US" w:eastAsia="zh-CN"/>
        </w:rPr>
        <w:t>经第三方造价单位</w:t>
      </w:r>
      <w:r>
        <w:rPr>
          <w:rFonts w:hint="eastAsia" w:ascii="宋体" w:hAnsi="宋体" w:eastAsia="宋体" w:cs="宋体"/>
          <w:snapToGrid w:val="0"/>
          <w:color w:val="auto"/>
          <w:kern w:val="0"/>
          <w:sz w:val="24"/>
          <w:szCs w:val="24"/>
          <w:highlight w:val="none"/>
        </w:rPr>
        <w:t>结算审核完成后，达到付款条件起7⽇内，</w:t>
      </w:r>
      <w:r>
        <w:rPr>
          <w:rFonts w:hint="eastAsia" w:ascii="宋体" w:hAnsi="宋体" w:eastAsia="宋体" w:cs="宋体"/>
          <w:snapToGrid w:val="0"/>
          <w:color w:val="auto"/>
          <w:kern w:val="0"/>
          <w:sz w:val="24"/>
          <w:szCs w:val="24"/>
          <w:highlight w:val="none"/>
          <w:lang w:val="en-US" w:eastAsia="zh-CN"/>
        </w:rPr>
        <w:t>支付</w:t>
      </w:r>
      <w:r>
        <w:rPr>
          <w:rFonts w:hint="eastAsia" w:ascii="宋体" w:hAnsi="宋体" w:eastAsia="宋体" w:cs="宋体"/>
          <w:snapToGrid w:val="0"/>
          <w:color w:val="auto"/>
          <w:kern w:val="0"/>
          <w:sz w:val="24"/>
          <w:szCs w:val="24"/>
          <w:highlight w:val="none"/>
        </w:rPr>
        <w:t>至</w:t>
      </w:r>
      <w:r>
        <w:rPr>
          <w:rFonts w:hint="eastAsia" w:ascii="宋体" w:hAnsi="宋体" w:eastAsia="宋体" w:cs="宋体"/>
          <w:snapToGrid w:val="0"/>
          <w:color w:val="auto"/>
          <w:kern w:val="0"/>
          <w:sz w:val="24"/>
          <w:szCs w:val="24"/>
          <w:highlight w:val="none"/>
          <w:lang w:val="en-US" w:eastAsia="zh-CN"/>
        </w:rPr>
        <w:t>审定结算价</w:t>
      </w:r>
      <w:r>
        <w:rPr>
          <w:rFonts w:hint="eastAsia" w:ascii="宋体" w:hAnsi="宋体" w:eastAsia="宋体" w:cs="宋体"/>
          <w:snapToGrid w:val="0"/>
          <w:color w:val="auto"/>
          <w:kern w:val="0"/>
          <w:sz w:val="24"/>
          <w:szCs w:val="24"/>
          <w:highlight w:val="none"/>
        </w:rPr>
        <w:t>的97%，剩余3%转为质量保证金；承包人提交了等额质量保证担保或质量保证保险的，于次月一次性结清</w:t>
      </w:r>
      <w:r>
        <w:rPr>
          <w:rFonts w:hint="eastAsia" w:ascii="宋体" w:hAnsi="宋体" w:eastAsia="宋体" w:cs="宋体"/>
          <w:snapToGrid w:val="0"/>
          <w:color w:val="auto"/>
          <w:kern w:val="0"/>
          <w:sz w:val="24"/>
          <w:szCs w:val="24"/>
          <w:highlight w:val="none"/>
          <w:lang w:val="en-US" w:eastAsia="zh-CN"/>
        </w:rPr>
        <w:t>审定结算价</w:t>
      </w:r>
      <w:r>
        <w:rPr>
          <w:rFonts w:hint="eastAsia" w:ascii="宋体" w:hAnsi="宋体" w:eastAsia="宋体" w:cs="宋体"/>
          <w:snapToGrid w:val="0"/>
          <w:color w:val="auto"/>
          <w:kern w:val="0"/>
          <w:sz w:val="24"/>
          <w:szCs w:val="24"/>
          <w:highlight w:val="none"/>
        </w:rPr>
        <w:t>。</w:t>
      </w:r>
    </w:p>
    <w:p w14:paraId="625CEA1E">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color w:val="auto"/>
          <w:kern w:val="0"/>
          <w:sz w:val="24"/>
          <w:szCs w:val="24"/>
          <w:highlight w:val="none"/>
        </w:rPr>
        <w:t>3.8</w:t>
      </w:r>
      <w:r>
        <w:rPr>
          <w:rFonts w:hint="eastAsia" w:ascii="宋体" w:hAnsi="宋体" w:eastAsia="宋体" w:cs="宋体"/>
          <w:color w:val="auto"/>
          <w:sz w:val="24"/>
          <w:szCs w:val="24"/>
          <w:highlight w:val="none"/>
        </w:rPr>
        <w:t>本招标项目缺陷责任期为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年（自通过竣工验收之日起计）。缺陷责任期到期后，承包人向发包人申请退还质量保证。发包人收到退还申请后，于14天内会同承包人进行核实。经双方核实且均无异议后，发包人在核实之日起 14 天内将应返保证金（或银行保函）退还承包人。</w:t>
      </w:r>
    </w:p>
    <w:p w14:paraId="3473C3F3">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jc w:val="both"/>
        <w:textAlignment w:val="auto"/>
        <w:rPr>
          <w:rFonts w:hint="eastAsia" w:ascii="宋体" w:hAnsi="宋体" w:eastAsia="宋体" w:cs="宋体"/>
          <w:b/>
          <w:bCs/>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3.9</w:t>
      </w:r>
      <w:r>
        <w:rPr>
          <w:rFonts w:hint="eastAsia" w:ascii="宋体" w:hAnsi="宋体" w:eastAsia="宋体" w:cs="宋体"/>
          <w:snapToGrid w:val="0"/>
          <w:color w:val="auto"/>
          <w:spacing w:val="0"/>
          <w:kern w:val="0"/>
          <w:sz w:val="24"/>
          <w:szCs w:val="20"/>
          <w:highlight w:val="none"/>
          <w:lang w:eastAsia="zh-CN"/>
        </w:rPr>
        <w:t xml:space="preserve"> </w:t>
      </w:r>
      <w:r>
        <w:rPr>
          <w:rFonts w:hint="eastAsia" w:ascii="宋体" w:hAnsi="宋体" w:eastAsia="宋体" w:cs="宋体"/>
          <w:b/>
          <w:bCs/>
          <w:snapToGrid w:val="0"/>
          <w:color w:val="auto"/>
          <w:spacing w:val="0"/>
          <w:kern w:val="0"/>
          <w:sz w:val="24"/>
          <w:szCs w:val="20"/>
          <w:highlight w:val="none"/>
          <w:lang w:eastAsia="zh-CN"/>
        </w:rPr>
        <w:t>发包人每次支付工程款前，承包人均应提供有效的增值税专用发票（</w:t>
      </w:r>
      <w:r>
        <w:rPr>
          <w:rFonts w:hint="eastAsia" w:ascii="宋体" w:hAnsi="宋体" w:eastAsia="宋体" w:cs="宋体"/>
          <w:b/>
          <w:bCs/>
          <w:snapToGrid w:val="0"/>
          <w:color w:val="auto"/>
          <w:spacing w:val="0"/>
          <w:kern w:val="0"/>
          <w:sz w:val="24"/>
          <w:szCs w:val="20"/>
          <w:highlight w:val="none"/>
          <w:lang w:val="en-US" w:eastAsia="zh-CN"/>
        </w:rPr>
        <w:t>增值税税率为9%</w:t>
      </w:r>
      <w:r>
        <w:rPr>
          <w:rFonts w:hint="eastAsia" w:ascii="宋体" w:hAnsi="宋体" w:eastAsia="宋体" w:cs="宋体"/>
          <w:b/>
          <w:bCs/>
          <w:snapToGrid w:val="0"/>
          <w:color w:val="auto"/>
          <w:spacing w:val="0"/>
          <w:kern w:val="0"/>
          <w:sz w:val="24"/>
          <w:szCs w:val="20"/>
          <w:highlight w:val="none"/>
          <w:lang w:eastAsia="zh-CN"/>
        </w:rPr>
        <w:t>）。如果承包人无法提供符合要求的发票，由此造成的相应损失由承包人承担。</w:t>
      </w:r>
    </w:p>
    <w:p w14:paraId="13A45C22">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10</w:t>
      </w:r>
      <w:r>
        <w:rPr>
          <w:rFonts w:hint="eastAsia" w:ascii="宋体" w:hAnsi="宋体" w:eastAsia="宋体" w:cs="宋体"/>
          <w:snapToGrid w:val="0"/>
          <w:color w:val="auto"/>
          <w:spacing w:val="0"/>
          <w:kern w:val="0"/>
          <w:sz w:val="24"/>
          <w:szCs w:val="20"/>
          <w:highlight w:val="none"/>
          <w:lang w:eastAsia="zh-CN"/>
        </w:rPr>
        <w:t>暂列金额支付方式：</w:t>
      </w:r>
      <w:r>
        <w:rPr>
          <w:rFonts w:hint="eastAsia" w:ascii="宋体" w:hAnsi="宋体" w:eastAsia="宋体" w:cs="宋体"/>
          <w:snapToGrid w:val="0"/>
          <w:color w:val="auto"/>
          <w:spacing w:val="0"/>
          <w:kern w:val="0"/>
          <w:sz w:val="24"/>
          <w:szCs w:val="20"/>
          <w:highlight w:val="none"/>
          <w:u w:val="single"/>
          <w:lang w:val="en-US" w:eastAsia="zh-CN"/>
        </w:rPr>
        <w:t>承包人需根据发包人确认并完善工程变更签证相关程序后，</w:t>
      </w:r>
      <w:r>
        <w:rPr>
          <w:rFonts w:hint="eastAsia" w:ascii="宋体" w:hAnsi="宋体" w:eastAsia="宋体" w:cs="宋体"/>
          <w:strike w:val="0"/>
          <w:dstrike w:val="0"/>
          <w:snapToGrid w:val="0"/>
          <w:color w:val="auto"/>
          <w:spacing w:val="0"/>
          <w:kern w:val="0"/>
          <w:sz w:val="24"/>
          <w:szCs w:val="20"/>
          <w:highlight w:val="none"/>
          <w:u w:val="single"/>
          <w:lang w:val="en-US" w:eastAsia="zh-CN"/>
        </w:rPr>
        <w:t>与工程结算款一并报</w:t>
      </w:r>
      <w:r>
        <w:rPr>
          <w:rFonts w:hint="eastAsia" w:ascii="宋体" w:hAnsi="宋体" w:eastAsia="宋体" w:cs="宋体"/>
          <w:snapToGrid w:val="0"/>
          <w:color w:val="auto"/>
          <w:spacing w:val="0"/>
          <w:kern w:val="0"/>
          <w:sz w:val="24"/>
          <w:szCs w:val="20"/>
          <w:highlight w:val="none"/>
          <w:u w:val="single"/>
          <w:lang w:val="en-US" w:eastAsia="zh-CN"/>
        </w:rPr>
        <w:t>送；若承包人原因未按上述办法在规定时间内完善工程变更签证相关程序的，工程结算款中的变更签证部分暂停拨付。在暂列金额的范围内，最终经发包人确认后支付至该部分实际完成工程量的（80％），其余部分待结算完成审核后支付至97%，剩余3%为工程质量保修金。</w:t>
      </w:r>
    </w:p>
    <w:p w14:paraId="1F654BCD">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u w:val="single"/>
          <w:lang w:eastAsia="zh-CN"/>
        </w:rPr>
      </w:pPr>
      <w:r>
        <w:rPr>
          <w:rFonts w:hint="eastAsia" w:ascii="宋体" w:hAnsi="宋体" w:eastAsia="宋体" w:cs="宋体"/>
          <w:b/>
          <w:bCs/>
          <w:snapToGrid w:val="0"/>
          <w:color w:val="auto"/>
          <w:spacing w:val="0"/>
          <w:kern w:val="0"/>
          <w:sz w:val="24"/>
          <w:szCs w:val="20"/>
          <w:highlight w:val="none"/>
          <w:lang w:eastAsia="zh-CN"/>
        </w:rPr>
        <w:t>3.11</w:t>
      </w:r>
      <w:r>
        <w:rPr>
          <w:rFonts w:hint="eastAsia" w:ascii="宋体" w:hAnsi="宋体" w:eastAsia="宋体" w:cs="宋体"/>
          <w:snapToGrid w:val="0"/>
          <w:color w:val="auto"/>
          <w:spacing w:val="0"/>
          <w:kern w:val="0"/>
          <w:sz w:val="24"/>
          <w:szCs w:val="20"/>
          <w:highlight w:val="none"/>
          <w:lang w:eastAsia="zh-CN"/>
        </w:rPr>
        <w:t xml:space="preserve"> 材料暂估价、专业工程暂估价支付方式：</w:t>
      </w:r>
      <w:r>
        <w:rPr>
          <w:rFonts w:hint="eastAsia" w:ascii="宋体" w:hAnsi="宋体" w:eastAsia="宋体" w:cs="宋体"/>
          <w:snapToGrid w:val="0"/>
          <w:color w:val="auto"/>
          <w:spacing w:val="0"/>
          <w:kern w:val="0"/>
          <w:sz w:val="24"/>
          <w:szCs w:val="20"/>
          <w:highlight w:val="none"/>
          <w:u w:val="single"/>
          <w:lang w:val="en-US" w:eastAsia="zh-CN"/>
        </w:rPr>
        <w:t>/</w:t>
      </w:r>
      <w:r>
        <w:rPr>
          <w:rFonts w:hint="eastAsia" w:ascii="宋体" w:hAnsi="宋体" w:eastAsia="宋体" w:cs="宋体"/>
          <w:snapToGrid w:val="0"/>
          <w:color w:val="auto"/>
          <w:spacing w:val="0"/>
          <w:kern w:val="0"/>
          <w:sz w:val="24"/>
          <w:szCs w:val="20"/>
          <w:highlight w:val="none"/>
          <w:u w:val="single"/>
          <w:lang w:eastAsia="zh-CN"/>
        </w:rPr>
        <w:t>。</w:t>
      </w:r>
    </w:p>
    <w:p w14:paraId="04F3BED8">
      <w:pPr>
        <w:keepNext w:val="0"/>
        <w:keepLines w:val="0"/>
        <w:pageBreakBefore w:val="0"/>
        <w:kinsoku/>
        <w:wordWrap w:val="0"/>
        <w:overflowPunct/>
        <w:topLinePunct/>
        <w:bidi w:val="0"/>
        <w:adjustRightInd w:val="0"/>
        <w:snapToGrid w:val="0"/>
        <w:spacing w:line="360" w:lineRule="auto"/>
        <w:ind w:left="486"/>
        <w:outlineLvl w:val="2"/>
        <w:rPr>
          <w:rFonts w:hint="eastAsia" w:ascii="宋体" w:hAnsi="宋体" w:eastAsia="宋体" w:cs="宋体"/>
          <w:b/>
          <w:bCs/>
          <w:color w:val="auto"/>
          <w:spacing w:val="0"/>
          <w:sz w:val="24"/>
          <w:szCs w:val="24"/>
          <w:highlight w:val="none"/>
        </w:rPr>
      </w:pPr>
      <w:bookmarkStart w:id="164" w:name="_Toc13036"/>
      <w:r>
        <w:rPr>
          <w:rFonts w:hint="eastAsia" w:ascii="宋体" w:hAnsi="宋体" w:eastAsia="宋体" w:cs="宋体"/>
          <w:b/>
          <w:bCs/>
          <w:color w:val="auto"/>
          <w:spacing w:val="0"/>
          <w:sz w:val="24"/>
          <w:szCs w:val="24"/>
          <w:highlight w:val="none"/>
        </w:rPr>
        <w:t>4 ．其他专用合同条款</w:t>
      </w:r>
      <w:bookmarkEnd w:id="164"/>
    </w:p>
    <w:p w14:paraId="1F0C69FE">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 </w:t>
      </w:r>
      <w:r>
        <w:rPr>
          <w:rFonts w:hint="eastAsia" w:ascii="宋体" w:hAnsi="宋体" w:eastAsia="宋体" w:cs="宋体"/>
          <w:bCs/>
          <w:snapToGrid w:val="0"/>
          <w:color w:val="auto"/>
          <w:spacing w:val="0"/>
          <w:kern w:val="0"/>
          <w:sz w:val="24"/>
          <w:szCs w:val="24"/>
          <w:highlight w:val="none"/>
          <w:lang w:val="en-US" w:eastAsia="zh-CN"/>
        </w:rPr>
        <w:t xml:space="preserve">专业工程分包 </w:t>
      </w:r>
    </w:p>
    <w:p w14:paraId="7DA8F632">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60CB197A">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w:t>
      </w:r>
      <w:r>
        <w:rPr>
          <w:rFonts w:hint="eastAsia" w:ascii="宋体" w:hAnsi="宋体" w:eastAsia="宋体" w:cs="宋体"/>
          <w:bCs/>
          <w:snapToGrid w:val="0"/>
          <w:color w:val="auto"/>
          <w:spacing w:val="0"/>
          <w:kern w:val="0"/>
          <w:sz w:val="24"/>
          <w:szCs w:val="24"/>
          <w:highlight w:val="none"/>
          <w:lang w:val="en-US" w:eastAsia="zh-CN"/>
        </w:rPr>
        <w:t xml:space="preserve"> 工人工资支付专用账户 </w:t>
      </w:r>
    </w:p>
    <w:p w14:paraId="6107EC99">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215AE4CE">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283B944D">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4462ADB3">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667CAE07">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承包人应在工资专户开立后 2 个工作日内，将开户银行及其账号、开户协议等资料提交给发包人。 </w:t>
      </w:r>
    </w:p>
    <w:p w14:paraId="327A91BB">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（1）用人单位应当在建设项目动工前，在建设项目所在地银行设立工人工资支付专用账户。 </w:t>
      </w:r>
    </w:p>
    <w:p w14:paraId="58573BE1">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（2）用人单位应当在用工之日起 15 日内为每一位工人办理个人银行账户。</w:t>
      </w:r>
    </w:p>
    <w:p w14:paraId="642A5D44">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（3）用人单位应当指定专人负责建设项目施工现场台账管理，真实、准确记录工人名册、劳务合同、劳动合同、工程进度、工时台账、劳务承包款和工人工资支付等信息，并保存两年以上备查。 </w:t>
      </w:r>
    </w:p>
    <w:p w14:paraId="0E0805A7">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（4）用人单位应当按照“及时支付，按实结算”的原则，在规定日期前通过银行工人工资支付专用账户将工人工资直接支付到工人的个人银行账户，并按月将工人工资支付 明细表报施工总承包单位和建设单位备案。</w:t>
      </w:r>
    </w:p>
    <w:p w14:paraId="10F6F807">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用人单位未建立、保存用工管理台账，或者伪造相关台账的，按照《广东省劳动保障监察条例》第五十条的规定，由人力资源社会保障部门责令改正，并可处以二千元以上二万元以下的人民币罚款。</w:t>
      </w:r>
    </w:p>
    <w:p w14:paraId="488F1AD2">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0A69E09">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4.3</w:t>
      </w:r>
      <w:r>
        <w:rPr>
          <w:rFonts w:hint="eastAsia" w:ascii="宋体" w:hAnsi="宋体" w:eastAsia="宋体" w:cs="宋体"/>
          <w:bCs/>
          <w:snapToGrid w:val="0"/>
          <w:color w:val="auto"/>
          <w:spacing w:val="0"/>
          <w:kern w:val="0"/>
          <w:sz w:val="24"/>
          <w:szCs w:val="24"/>
          <w:highlight w:val="none"/>
          <w:lang w:val="en-US" w:eastAsia="zh-CN"/>
        </w:rPr>
        <w:t xml:space="preserve"> 诚信登记 </w:t>
      </w:r>
    </w:p>
    <w:p w14:paraId="07E7A432">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16CFB341">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w:t>
      </w:r>
      <w:r>
        <w:rPr>
          <w:rFonts w:hint="eastAsia" w:ascii="宋体" w:hAnsi="宋体" w:eastAsia="宋体" w:cs="宋体"/>
          <w:bCs/>
          <w:snapToGrid w:val="0"/>
          <w:color w:val="auto"/>
          <w:spacing w:val="0"/>
          <w:kern w:val="0"/>
          <w:sz w:val="24"/>
          <w:szCs w:val="24"/>
          <w:highlight w:val="none"/>
          <w:lang w:val="en-US" w:eastAsia="zh-CN"/>
        </w:rPr>
        <w:t xml:space="preserve"> 工期进度 </w:t>
      </w:r>
    </w:p>
    <w:p w14:paraId="461E3F81">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4.4.1</w:t>
      </w:r>
      <w:r>
        <w:rPr>
          <w:rFonts w:hint="eastAsia" w:ascii="宋体" w:hAnsi="宋体" w:eastAsia="宋体" w:cs="宋体"/>
          <w:bCs/>
          <w:snapToGrid w:val="0"/>
          <w:color w:val="auto"/>
          <w:spacing w:val="0"/>
          <w:kern w:val="0"/>
          <w:sz w:val="24"/>
          <w:szCs w:val="24"/>
          <w:highlight w:val="none"/>
          <w:lang w:val="en-US" w:eastAsia="zh-CN"/>
        </w:rPr>
        <w:t xml:space="preserve"> 本招标项目施工招标工期为</w:t>
      </w:r>
      <w:r>
        <w:rPr>
          <w:rFonts w:hint="eastAsia" w:ascii="宋体" w:hAnsi="宋体" w:eastAsia="宋体" w:cs="宋体"/>
          <w:bCs/>
          <w:snapToGrid w:val="0"/>
          <w:color w:val="auto"/>
          <w:spacing w:val="0"/>
          <w:kern w:val="0"/>
          <w:sz w:val="24"/>
          <w:szCs w:val="24"/>
          <w:highlight w:val="none"/>
          <w:u w:val="single"/>
          <w:lang w:val="en-US" w:eastAsia="zh-CN"/>
        </w:rPr>
        <w:t>45个日历天</w:t>
      </w:r>
      <w:r>
        <w:rPr>
          <w:rFonts w:hint="eastAsia" w:ascii="宋体" w:hAnsi="宋体" w:eastAsia="宋体" w:cs="宋体"/>
          <w:bCs/>
          <w:snapToGrid w:val="0"/>
          <w:color w:val="auto"/>
          <w:spacing w:val="0"/>
          <w:kern w:val="0"/>
          <w:sz w:val="24"/>
          <w:szCs w:val="24"/>
          <w:highlight w:val="none"/>
          <w:lang w:val="en-US" w:eastAsia="zh-CN"/>
        </w:rPr>
        <w:t xml:space="preserve">，承包人必须在招标工期内完成招标范围内的全部内容。 </w:t>
      </w:r>
    </w:p>
    <w:p w14:paraId="4450FD83">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4.4.2</w:t>
      </w:r>
      <w:r>
        <w:rPr>
          <w:rFonts w:hint="eastAsia" w:ascii="宋体" w:hAnsi="宋体" w:eastAsia="宋体" w:cs="宋体"/>
          <w:bCs/>
          <w:snapToGrid w:val="0"/>
          <w:color w:val="auto"/>
          <w:spacing w:val="0"/>
          <w:kern w:val="0"/>
          <w:sz w:val="24"/>
          <w:szCs w:val="24"/>
          <w:highlight w:val="none"/>
          <w:lang w:val="en-US" w:eastAsia="zh-CN"/>
        </w:rPr>
        <w:t xml:space="preserve"> 施工工期从承包人收到监理单位签发的开工令之日起计，至竣工验收合格之日止。</w:t>
      </w:r>
    </w:p>
    <w:p w14:paraId="70963682">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4.4.3</w:t>
      </w:r>
      <w:r>
        <w:rPr>
          <w:rFonts w:hint="eastAsia" w:ascii="宋体" w:hAnsi="宋体" w:eastAsia="宋体" w:cs="宋体"/>
          <w:bCs/>
          <w:snapToGrid w:val="0"/>
          <w:color w:val="auto"/>
          <w:spacing w:val="0"/>
          <w:kern w:val="0"/>
          <w:sz w:val="24"/>
          <w:szCs w:val="24"/>
          <w:highlight w:val="none"/>
          <w:lang w:val="en-US" w:eastAsia="zh-CN"/>
        </w:rPr>
        <w:t xml:space="preserve"> 工期奖罚 </w:t>
      </w:r>
    </w:p>
    <w:p w14:paraId="6988E3FF">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□竣工验收合格交付使用每提前</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天竣工；奖</w:t>
      </w:r>
      <w:r>
        <w:rPr>
          <w:rFonts w:hint="eastAsia" w:ascii="宋体" w:hAnsi="宋体" w:eastAsia="宋体" w:cs="宋体"/>
          <w:bCs/>
          <w:snapToGrid w:val="0"/>
          <w:color w:val="auto"/>
          <w:spacing w:val="0"/>
          <w:kern w:val="0"/>
          <w:sz w:val="24"/>
          <w:szCs w:val="24"/>
          <w:highlight w:val="none"/>
          <w:u w:val="single"/>
          <w:lang w:val="en-US" w:eastAsia="zh-CN"/>
        </w:rPr>
        <w:t xml:space="preserve">/ </w:t>
      </w:r>
      <w:r>
        <w:rPr>
          <w:rFonts w:hint="eastAsia" w:ascii="宋体" w:hAnsi="宋体" w:eastAsia="宋体" w:cs="宋体"/>
          <w:bCs/>
          <w:snapToGrid w:val="0"/>
          <w:color w:val="auto"/>
          <w:spacing w:val="0"/>
          <w:kern w:val="0"/>
          <w:sz w:val="24"/>
          <w:szCs w:val="24"/>
          <w:highlight w:val="none"/>
          <w:lang w:val="en-US" w:eastAsia="zh-CN"/>
        </w:rPr>
        <w:t>元，奖励金额不超过合同价款的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6490BB52">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2F684FA6">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□按施工合同期约定,因承包人原因延误工期</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天内不处罚， 自第壹天起每延误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天竣工,罚元。处罚金额不超过合同价款的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2%～5%）且不超过万元，累计延误工期达到</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天，报请建设行政主管部门作不良行为记录，非承包方原因或不可抗力造成延误的除外。 </w:t>
      </w:r>
    </w:p>
    <w:p w14:paraId="7CBDD178">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599157A5">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292DFB5D">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（3）承包人在进场后7天内提交施工进度计划，并注明主要施工节点时间，送监理单位及发包人审核后，作为工期考核的阶段性指标。</w:t>
      </w:r>
    </w:p>
    <w:p w14:paraId="2A1D6E59">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w:t>
      </w:r>
      <w:r>
        <w:rPr>
          <w:rFonts w:hint="eastAsia" w:ascii="宋体" w:hAnsi="宋体" w:eastAsia="宋体" w:cs="宋体"/>
          <w:bCs/>
          <w:snapToGrid w:val="0"/>
          <w:color w:val="auto"/>
          <w:spacing w:val="0"/>
          <w:kern w:val="0"/>
          <w:sz w:val="24"/>
          <w:szCs w:val="24"/>
          <w:highlight w:val="none"/>
          <w:lang w:val="en-US" w:eastAsia="zh-CN"/>
        </w:rPr>
        <w:t xml:space="preserve"> 项目管理机构 </w:t>
      </w:r>
    </w:p>
    <w:p w14:paraId="4335B341">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4.5.1</w:t>
      </w:r>
      <w:r>
        <w:rPr>
          <w:rFonts w:hint="eastAsia" w:ascii="宋体" w:hAnsi="宋体" w:eastAsia="宋体" w:cs="宋体"/>
          <w:bCs/>
          <w:snapToGrid w:val="0"/>
          <w:color w:val="auto"/>
          <w:spacing w:val="0"/>
          <w:kern w:val="0"/>
          <w:sz w:val="24"/>
          <w:szCs w:val="24"/>
          <w:highlight w:val="none"/>
          <w:lang w:val="en-US" w:eastAsia="zh-CN"/>
        </w:rPr>
        <w:t xml:space="preserve"> 承包人派驻的项目管理班子成员必须为其投标文件确定的人员，否则发包人有权终止合同。 </w:t>
      </w:r>
    </w:p>
    <w:p w14:paraId="7C1E6120">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4.5.2</w:t>
      </w:r>
      <w:r>
        <w:rPr>
          <w:rFonts w:hint="eastAsia" w:ascii="宋体" w:hAnsi="宋体" w:eastAsia="宋体" w:cs="宋体"/>
          <w:bCs/>
          <w:snapToGrid w:val="0"/>
          <w:color w:val="auto"/>
          <w:spacing w:val="0"/>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1AA7CD27">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w:t>
      </w:r>
      <w:r>
        <w:rPr>
          <w:rFonts w:hint="eastAsia" w:ascii="宋体" w:hAnsi="宋体" w:eastAsia="宋体" w:cs="宋体"/>
          <w:bCs/>
          <w:snapToGrid w:val="0"/>
          <w:color w:val="auto"/>
          <w:spacing w:val="0"/>
          <w:kern w:val="0"/>
          <w:sz w:val="24"/>
          <w:szCs w:val="24"/>
          <w:highlight w:val="none"/>
          <w:lang w:val="en-US" w:eastAsia="zh-CN"/>
        </w:rPr>
        <w:t xml:space="preserve"> 现场管理 </w:t>
      </w:r>
    </w:p>
    <w:p w14:paraId="213319F5">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4.6.1</w:t>
      </w:r>
      <w:r>
        <w:rPr>
          <w:rFonts w:hint="eastAsia" w:ascii="宋体" w:hAnsi="宋体" w:eastAsia="宋体" w:cs="宋体"/>
          <w:bCs/>
          <w:snapToGrid w:val="0"/>
          <w:color w:val="auto"/>
          <w:spacing w:val="0"/>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4C0B44F5">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4.6.2</w:t>
      </w:r>
      <w:r>
        <w:rPr>
          <w:rFonts w:hint="eastAsia" w:ascii="宋体" w:hAnsi="宋体" w:eastAsia="宋体" w:cs="宋体"/>
          <w:bCs/>
          <w:snapToGrid w:val="0"/>
          <w:color w:val="auto"/>
          <w:spacing w:val="0"/>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w:t>
      </w:r>
    </w:p>
    <w:p w14:paraId="7EC2FFD9">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4.6.3</w:t>
      </w:r>
      <w:r>
        <w:rPr>
          <w:rFonts w:hint="eastAsia" w:ascii="宋体" w:hAnsi="宋体" w:eastAsia="宋体" w:cs="宋体"/>
          <w:bCs/>
          <w:snapToGrid w:val="0"/>
          <w:color w:val="auto"/>
          <w:spacing w:val="0"/>
          <w:kern w:val="0"/>
          <w:sz w:val="24"/>
          <w:szCs w:val="24"/>
          <w:highlight w:val="none"/>
          <w:lang w:val="en-US" w:eastAsia="zh-CN"/>
        </w:rPr>
        <w:t xml:space="preserve"> 为保证施工现场的环境卫生，承包人在本招标项目施工过程中，所有的车辆必须按发包人规定的行车路线行驶。 </w:t>
      </w:r>
    </w:p>
    <w:p w14:paraId="1F42BB6D">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4.7</w:t>
      </w:r>
      <w:r>
        <w:rPr>
          <w:rFonts w:hint="eastAsia" w:ascii="宋体" w:hAnsi="宋体" w:eastAsia="宋体" w:cs="宋体"/>
          <w:bCs/>
          <w:snapToGrid w:val="0"/>
          <w:color w:val="auto"/>
          <w:spacing w:val="0"/>
          <w:kern w:val="0"/>
          <w:sz w:val="24"/>
          <w:szCs w:val="24"/>
          <w:highlight w:val="none"/>
          <w:lang w:val="en-US" w:eastAsia="zh-CN"/>
        </w:rPr>
        <w:t xml:space="preserve"> 监督实施 </w:t>
      </w:r>
    </w:p>
    <w:p w14:paraId="364E1517">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032F0A39">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4.8</w:t>
      </w:r>
      <w:r>
        <w:rPr>
          <w:rFonts w:hint="eastAsia" w:ascii="宋体" w:hAnsi="宋体" w:eastAsia="宋体" w:cs="宋体"/>
          <w:bCs/>
          <w:snapToGrid w:val="0"/>
          <w:color w:val="auto"/>
          <w:spacing w:val="0"/>
          <w:kern w:val="0"/>
          <w:sz w:val="24"/>
          <w:szCs w:val="24"/>
          <w:highlight w:val="none"/>
          <w:lang w:val="en-US" w:eastAsia="zh-CN"/>
        </w:rPr>
        <w:t xml:space="preserve"> 主材的采购和使用 </w:t>
      </w:r>
    </w:p>
    <w:p w14:paraId="205BCAE4">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4.8.1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30B25DC3">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4.8.2 发包人推荐参考的部分材料品牌详见本章《附件 材料设备技术要求参考标准(或不低于)》。</w:t>
      </w:r>
    </w:p>
    <w:p w14:paraId="3BC9A3CB">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4.9 </w:t>
      </w:r>
      <w:r>
        <w:rPr>
          <w:rFonts w:hint="eastAsia" w:ascii="宋体" w:hAnsi="宋体" w:eastAsia="宋体" w:cs="宋体"/>
          <w:bCs/>
          <w:snapToGrid w:val="0"/>
          <w:color w:val="auto"/>
          <w:spacing w:val="0"/>
          <w:kern w:val="0"/>
          <w:sz w:val="24"/>
          <w:szCs w:val="24"/>
          <w:highlight w:val="none"/>
          <w:lang w:val="en-US" w:eastAsia="zh-CN"/>
        </w:rPr>
        <w:t xml:space="preserve">竣工资料移交 </w:t>
      </w:r>
    </w:p>
    <w:p w14:paraId="6B673EC2">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项目竣工验收时，承包人应向监理单位和发包人提供符合国家档案部门备案要求的，编制成册的竣工图及有关的技术档案资料（含声像档案）一式八份。 </w:t>
      </w:r>
    </w:p>
    <w:p w14:paraId="7E12EC04">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w:t>
      </w:r>
      <w:r>
        <w:rPr>
          <w:rFonts w:hint="eastAsia" w:ascii="宋体" w:hAnsi="宋体" w:eastAsia="宋体" w:cs="宋体"/>
          <w:bCs/>
          <w:snapToGrid w:val="0"/>
          <w:color w:val="auto"/>
          <w:spacing w:val="0"/>
          <w:kern w:val="0"/>
          <w:sz w:val="24"/>
          <w:szCs w:val="24"/>
          <w:highlight w:val="none"/>
          <w:lang w:val="en-US" w:eastAsia="zh-CN"/>
        </w:rPr>
        <w:t xml:space="preserve"> 质量保证</w:t>
      </w:r>
    </w:p>
    <w:p w14:paraId="491FDFD2">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4.10.1</w:t>
      </w:r>
      <w:r>
        <w:rPr>
          <w:rFonts w:hint="eastAsia" w:ascii="宋体" w:hAnsi="宋体" w:eastAsia="宋体" w:cs="宋体"/>
          <w:bCs/>
          <w:snapToGrid w:val="0"/>
          <w:color w:val="auto"/>
          <w:spacing w:val="0"/>
          <w:kern w:val="0"/>
          <w:sz w:val="24"/>
          <w:szCs w:val="24"/>
          <w:highlight w:val="none"/>
          <w:lang w:val="en-US" w:eastAsia="zh-CN"/>
        </w:rPr>
        <w:t xml:space="preserve"> 本招标项目缺陷责任期为</w:t>
      </w:r>
      <w:r>
        <w:rPr>
          <w:rFonts w:hint="eastAsia" w:ascii="宋体" w:hAnsi="宋体" w:eastAsia="宋体" w:cs="宋体"/>
          <w:bCs/>
          <w:snapToGrid w:val="0"/>
          <w:color w:val="auto"/>
          <w:spacing w:val="0"/>
          <w:kern w:val="0"/>
          <w:sz w:val="24"/>
          <w:szCs w:val="24"/>
          <w:highlight w:val="none"/>
          <w:u w:val="single"/>
          <w:lang w:val="en-US" w:eastAsia="zh-CN"/>
        </w:rPr>
        <w:t xml:space="preserve"> 2 </w:t>
      </w:r>
      <w:r>
        <w:rPr>
          <w:rFonts w:hint="eastAsia" w:ascii="宋体" w:hAnsi="宋体" w:eastAsia="宋体" w:cs="宋体"/>
          <w:bCs/>
          <w:snapToGrid w:val="0"/>
          <w:color w:val="auto"/>
          <w:spacing w:val="0"/>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spacing w:val="0"/>
          <w:kern w:val="0"/>
          <w:sz w:val="24"/>
          <w:szCs w:val="24"/>
          <w:highlight w:val="none"/>
          <w:u w:val="single"/>
          <w:lang w:val="en-US" w:eastAsia="zh-CN"/>
        </w:rPr>
        <w:t>3%</w:t>
      </w:r>
      <w:r>
        <w:rPr>
          <w:rFonts w:hint="eastAsia" w:ascii="宋体" w:hAnsi="宋体" w:eastAsia="宋体" w:cs="宋体"/>
          <w:bCs/>
          <w:snapToGrid w:val="0"/>
          <w:color w:val="auto"/>
          <w:spacing w:val="0"/>
          <w:kern w:val="0"/>
          <w:sz w:val="24"/>
          <w:szCs w:val="24"/>
          <w:highlight w:val="none"/>
          <w:lang w:val="en-US" w:eastAsia="zh-CN"/>
        </w:rPr>
        <w:t xml:space="preserve">的质量保证。 </w:t>
      </w:r>
    </w:p>
    <w:p w14:paraId="5D842A8C">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4.10.2</w:t>
      </w:r>
      <w:r>
        <w:rPr>
          <w:rFonts w:hint="eastAsia" w:ascii="宋体" w:hAnsi="宋体" w:eastAsia="宋体" w:cs="宋体"/>
          <w:bCs/>
          <w:snapToGrid w:val="0"/>
          <w:color w:val="auto"/>
          <w:spacing w:val="0"/>
          <w:kern w:val="0"/>
          <w:sz w:val="24"/>
          <w:szCs w:val="24"/>
          <w:highlight w:val="none"/>
          <w:lang w:val="en-US" w:eastAsia="zh-CN"/>
        </w:rPr>
        <w:t xml:space="preserve"> 质量保证的形式包括质量保证金、质量保证担保、质量保证保险三种，由承包人自主选择。 </w:t>
      </w:r>
    </w:p>
    <w:p w14:paraId="5AFBB22B">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（1）采用质量保证金形式的，在结清审定总造价时一次性扣留相应金额作为质量保证金。</w:t>
      </w:r>
    </w:p>
    <w:p w14:paraId="6C2F2F0A">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1B99FBE">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4.10.3</w:t>
      </w:r>
      <w:r>
        <w:rPr>
          <w:rFonts w:hint="eastAsia" w:ascii="宋体" w:hAnsi="宋体" w:eastAsia="宋体" w:cs="宋体"/>
          <w:bCs/>
          <w:snapToGrid w:val="0"/>
          <w:color w:val="auto"/>
          <w:spacing w:val="0"/>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42ADA110">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由他人原因造成的缺陷，发包人负责组织维修，承包人不承担费用，且发包人不得从质量保证中扣除费用。 </w:t>
      </w:r>
    </w:p>
    <w:p w14:paraId="43210560">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4.10.4</w:t>
      </w:r>
      <w:r>
        <w:rPr>
          <w:rFonts w:hint="eastAsia" w:ascii="宋体" w:hAnsi="宋体" w:eastAsia="宋体" w:cs="宋体"/>
          <w:bCs/>
          <w:snapToGrid w:val="0"/>
          <w:color w:val="auto"/>
          <w:spacing w:val="0"/>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4A71C744">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4.11</w:t>
      </w:r>
      <w:r>
        <w:rPr>
          <w:rFonts w:hint="eastAsia" w:ascii="宋体" w:hAnsi="宋体" w:eastAsia="宋体" w:cs="宋体"/>
          <w:bCs/>
          <w:snapToGrid w:val="0"/>
          <w:color w:val="auto"/>
          <w:spacing w:val="0"/>
          <w:kern w:val="0"/>
          <w:sz w:val="24"/>
          <w:szCs w:val="24"/>
          <w:highlight w:val="none"/>
          <w:lang w:val="en-US" w:eastAsia="zh-CN"/>
        </w:rPr>
        <w:t xml:space="preserve"> 不良行为处理 </w:t>
      </w:r>
    </w:p>
    <w:p w14:paraId="7E5412D1">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政府信息公开平台（https://www.sg.gov.cn/zgj/gkmlpt/index）公示。 </w:t>
      </w:r>
    </w:p>
    <w:p w14:paraId="5BA9F478">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（1）转包、违法分包或违反投标承诺分包工程的； </w:t>
      </w:r>
    </w:p>
    <w:p w14:paraId="78549315">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4F7D6A46">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（3）投标文件确定的大型机械设备没有进入施工现场的； </w:t>
      </w:r>
    </w:p>
    <w:p w14:paraId="5D53A020">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（4）与建设单位、监理单位串通，签认虚假工程量或工程造价的； </w:t>
      </w:r>
    </w:p>
    <w:p w14:paraId="7E389E4D">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（5）项目经理施工现场管理不到位的； </w:t>
      </w:r>
    </w:p>
    <w:p w14:paraId="61805AC5">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（6）项目经理在非本人资格证书注册单位从事工程项目施工管理的； </w:t>
      </w:r>
    </w:p>
    <w:p w14:paraId="03F8C6B4">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（7）项目经理同时承担超过一项工程项目的； </w:t>
      </w:r>
    </w:p>
    <w:p w14:paraId="56BE8A1E">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（8）违反有关法律、法规、规章规定的其它行为。 </w:t>
      </w:r>
    </w:p>
    <w:p w14:paraId="747EA7D4">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4.12 </w:t>
      </w:r>
      <w:r>
        <w:rPr>
          <w:rFonts w:hint="eastAsia" w:ascii="宋体" w:hAnsi="宋体" w:eastAsia="宋体" w:cs="宋体"/>
          <w:bCs/>
          <w:snapToGrid w:val="0"/>
          <w:color w:val="auto"/>
          <w:spacing w:val="0"/>
          <w:kern w:val="0"/>
          <w:sz w:val="24"/>
          <w:szCs w:val="24"/>
          <w:highlight w:val="none"/>
          <w:lang w:val="en-US" w:eastAsia="zh-CN"/>
        </w:rPr>
        <w:t xml:space="preserve">信用评价条款内容 </w:t>
      </w:r>
    </w:p>
    <w:p w14:paraId="60CB6E76">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01798A6D">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4.13</w:t>
      </w:r>
      <w:r>
        <w:rPr>
          <w:rFonts w:hint="eastAsia" w:ascii="宋体" w:hAnsi="宋体" w:eastAsia="宋体" w:cs="宋体"/>
          <w:bCs/>
          <w:snapToGrid w:val="0"/>
          <w:color w:val="auto"/>
          <w:spacing w:val="0"/>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4615B2D5">
      <w:pPr>
        <w:keepNext w:val="0"/>
        <w:keepLines w:val="0"/>
        <w:pageBreakBefore w:val="0"/>
        <w:kinsoku/>
        <w:wordWrap w:val="0"/>
        <w:overflowPunct/>
        <w:topLinePunct/>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394FC78F">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4.14</w:t>
      </w:r>
      <w:r>
        <w:rPr>
          <w:rFonts w:hint="eastAsia" w:ascii="宋体" w:hAnsi="宋体" w:eastAsia="宋体" w:cs="宋体"/>
          <w:bCs/>
          <w:snapToGrid w:val="0"/>
          <w:color w:val="auto"/>
          <w:spacing w:val="0"/>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30EC0EA3">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4.15</w:t>
      </w:r>
      <w:r>
        <w:rPr>
          <w:rFonts w:hint="eastAsia" w:ascii="宋体" w:hAnsi="宋体" w:eastAsia="宋体" w:cs="宋体"/>
          <w:bCs/>
          <w:snapToGrid w:val="0"/>
          <w:color w:val="auto"/>
          <w:spacing w:val="0"/>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spacing w:val="0"/>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spacing w:val="0"/>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1897EB72">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4.16 </w:t>
      </w:r>
      <w:r>
        <w:rPr>
          <w:rFonts w:hint="eastAsia" w:ascii="宋体" w:hAnsi="宋体" w:eastAsia="宋体" w:cs="宋体"/>
          <w:bCs/>
          <w:snapToGrid w:val="0"/>
          <w:color w:val="auto"/>
          <w:spacing w:val="0"/>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3AB59E79">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4.17</w:t>
      </w:r>
      <w:r>
        <w:rPr>
          <w:rFonts w:hint="eastAsia" w:ascii="宋体" w:hAnsi="宋体" w:eastAsia="宋体" w:cs="宋体"/>
          <w:bCs/>
          <w:snapToGrid w:val="0"/>
          <w:color w:val="auto"/>
          <w:spacing w:val="0"/>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14:paraId="31B81973">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4.18</w:t>
      </w:r>
      <w:r>
        <w:rPr>
          <w:rFonts w:hint="eastAsia" w:ascii="宋体" w:hAnsi="宋体" w:eastAsia="宋体" w:cs="宋体"/>
          <w:bCs/>
          <w:snapToGrid w:val="0"/>
          <w:color w:val="auto"/>
          <w:spacing w:val="0"/>
          <w:kern w:val="0"/>
          <w:sz w:val="24"/>
          <w:szCs w:val="24"/>
          <w:highlight w:val="none"/>
          <w:lang w:val="en-US" w:eastAsia="zh-CN"/>
        </w:rPr>
        <w:t xml:space="preserve"> 承包人中标后必须按规定及时缴交工人工资保证金、环保噪声排污费等。 </w:t>
      </w:r>
    </w:p>
    <w:p w14:paraId="5DFB53A7">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4.19</w:t>
      </w:r>
      <w:r>
        <w:rPr>
          <w:rFonts w:hint="eastAsia" w:ascii="宋体" w:hAnsi="宋体" w:eastAsia="宋体" w:cs="宋体"/>
          <w:bCs/>
          <w:snapToGrid w:val="0"/>
          <w:color w:val="auto"/>
          <w:spacing w:val="0"/>
          <w:kern w:val="0"/>
          <w:sz w:val="24"/>
          <w:szCs w:val="24"/>
          <w:highlight w:val="none"/>
          <w:lang w:val="en-US" w:eastAsia="zh-CN"/>
        </w:rPr>
        <w:t xml:space="preserve"> 工程质量保修期按《中华人民共和国建筑法》、《建设工程质量管理条例》等相关规定实施。 </w:t>
      </w:r>
    </w:p>
    <w:p w14:paraId="0CA95950">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4.20</w:t>
      </w:r>
      <w:r>
        <w:rPr>
          <w:rFonts w:hint="eastAsia" w:ascii="宋体" w:hAnsi="宋体" w:eastAsia="宋体" w:cs="宋体"/>
          <w:bCs/>
          <w:snapToGrid w:val="0"/>
          <w:color w:val="auto"/>
          <w:spacing w:val="0"/>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10331FA">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3E7F5D6A">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5AD7D046">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FC001B2">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质量违约</w:t>
      </w:r>
    </w:p>
    <w:p w14:paraId="6F75D17B">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w:t>
      </w:r>
      <w:r>
        <w:rPr>
          <w:rFonts w:hint="eastAsia" w:ascii="宋体" w:hAnsi="宋体" w:eastAsia="宋体" w:cs="宋体"/>
          <w:bCs/>
          <w:snapToGrid w:val="0"/>
          <w:color w:val="auto"/>
          <w:spacing w:val="0"/>
          <w:kern w:val="0"/>
          <w:sz w:val="24"/>
          <w:szCs w:val="24"/>
          <w:highlight w:val="none"/>
          <w:lang w:val="en-US" w:eastAsia="zh-CN"/>
        </w:rPr>
        <w:t xml:space="preserve">材料违约处理：若发现材料不符合国家标准或发包人在技术规范中规定的标准，视为承包人违约，按现行《建设工程质量管理条例》处理。 </w:t>
      </w:r>
    </w:p>
    <w:p w14:paraId="13801E4C">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4.24.1.1</w:t>
      </w:r>
      <w:r>
        <w:rPr>
          <w:rFonts w:hint="eastAsia" w:ascii="宋体" w:hAnsi="宋体" w:eastAsia="宋体" w:cs="宋体"/>
          <w:bCs/>
          <w:snapToGrid w:val="0"/>
          <w:color w:val="auto"/>
          <w:spacing w:val="0"/>
          <w:kern w:val="0"/>
          <w:sz w:val="24"/>
          <w:szCs w:val="24"/>
          <w:highlight w:val="none"/>
          <w:lang w:val="en-US" w:eastAsia="zh-CN"/>
        </w:rPr>
        <w:t xml:space="preserve"> 成品采购项目在采购前，承包人必须先行书面征求监理人、发包人的同意并一起看样定版后方能实施。未经监理人、发包人同意擅自先行采购和实施的，否则因不符合设计要求返工造成的费用由承包人承担。</w:t>
      </w:r>
    </w:p>
    <w:p w14:paraId="7053727A">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w:t>
      </w:r>
      <w:r>
        <w:rPr>
          <w:rFonts w:hint="eastAsia" w:ascii="宋体" w:hAnsi="宋体" w:eastAsia="宋体" w:cs="宋体"/>
          <w:b w:val="0"/>
          <w:bCs/>
          <w:snapToGrid w:val="0"/>
          <w:color w:val="auto"/>
          <w:spacing w:val="0"/>
          <w:kern w:val="0"/>
          <w:sz w:val="24"/>
          <w:szCs w:val="24"/>
          <w:highlight w:val="none"/>
          <w:lang w:val="en-US" w:eastAsia="zh-CN"/>
        </w:rPr>
        <w:t xml:space="preserve">工程质量违约： </w:t>
      </w:r>
    </w:p>
    <w:p w14:paraId="41792CA4">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4.24.2.1</w:t>
      </w:r>
      <w:r>
        <w:rPr>
          <w:rFonts w:hint="eastAsia" w:ascii="宋体" w:hAnsi="宋体" w:eastAsia="宋体" w:cs="宋体"/>
          <w:b w:val="0"/>
          <w:bCs/>
          <w:snapToGrid w:val="0"/>
          <w:color w:val="auto"/>
          <w:spacing w:val="0"/>
          <w:kern w:val="0"/>
          <w:sz w:val="24"/>
          <w:szCs w:val="24"/>
          <w:highlight w:val="none"/>
          <w:lang w:val="en-US" w:eastAsia="zh-CN"/>
        </w:rPr>
        <w:t xml:space="preserve"> 在施工过程中经监理单位日常巡查或抽检发现未达到合格标准，责令承包人进行整改，如未按规定时间进行整改或整改不到位的，每次按 5000 元缴纳违约金给发包人，在进度款或结算款中一并扣除。 </w:t>
      </w:r>
    </w:p>
    <w:p w14:paraId="2BF4635E">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4.24.2.2</w:t>
      </w:r>
      <w:r>
        <w:rPr>
          <w:rFonts w:hint="eastAsia" w:ascii="宋体" w:hAnsi="宋体" w:eastAsia="宋体" w:cs="宋体"/>
          <w:b w:val="0"/>
          <w:bCs/>
          <w:snapToGrid w:val="0"/>
          <w:color w:val="auto"/>
          <w:spacing w:val="0"/>
          <w:kern w:val="0"/>
          <w:sz w:val="24"/>
          <w:szCs w:val="24"/>
          <w:highlight w:val="none"/>
          <w:lang w:val="en-US" w:eastAsia="zh-CN"/>
        </w:rPr>
        <w:t xml:space="preserve"> 工程质量标准须达到国家验收合格标准。如未达到合格标准，除无偿返工至合格外，还要按合同价款的 1%向招标人支付质量违约金，工期不予顺延。 </w:t>
      </w:r>
    </w:p>
    <w:p w14:paraId="0DB73317">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w:t>
      </w:r>
      <w:r>
        <w:rPr>
          <w:rFonts w:hint="eastAsia" w:ascii="宋体" w:hAnsi="宋体" w:eastAsia="宋体" w:cs="宋体"/>
          <w:b w:val="0"/>
          <w:bCs/>
          <w:snapToGrid w:val="0"/>
          <w:color w:val="auto"/>
          <w:spacing w:val="0"/>
          <w:kern w:val="0"/>
          <w:sz w:val="24"/>
          <w:szCs w:val="24"/>
          <w:highlight w:val="none"/>
          <w:lang w:val="en-US" w:eastAsia="zh-CN"/>
        </w:rPr>
        <w:t xml:space="preserve"> 重大责任事故违约 </w:t>
      </w:r>
    </w:p>
    <w:p w14:paraId="20B2CFA3">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4.25.1</w:t>
      </w:r>
      <w:r>
        <w:rPr>
          <w:rFonts w:hint="eastAsia" w:ascii="宋体" w:hAnsi="宋体" w:eastAsia="宋体" w:cs="宋体"/>
          <w:b w:val="0"/>
          <w:bCs/>
          <w:snapToGrid w:val="0"/>
          <w:color w:val="auto"/>
          <w:spacing w:val="0"/>
          <w:kern w:val="0"/>
          <w:sz w:val="24"/>
          <w:szCs w:val="24"/>
          <w:highlight w:val="none"/>
          <w:lang w:val="en-US" w:eastAsia="zh-CN"/>
        </w:rPr>
        <w:t xml:space="preserve"> 承包人因违反国家安全质量法规及合同有关条款约定,出现火灾、坍塌、人员重伤、死亡等重大责任事故,则承包人应承担全部损失,并按相关法规接受行政处罚；如造成发包人及对第三人利益的损害,该等损害赔偿责任均由承包人承担。 </w:t>
      </w:r>
    </w:p>
    <w:p w14:paraId="2EF0F379">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w:t>
      </w:r>
      <w:r>
        <w:rPr>
          <w:rFonts w:hint="eastAsia" w:ascii="宋体" w:hAnsi="宋体" w:eastAsia="宋体" w:cs="宋体"/>
          <w:b w:val="0"/>
          <w:bCs/>
          <w:snapToGrid w:val="0"/>
          <w:color w:val="auto"/>
          <w:spacing w:val="0"/>
          <w:kern w:val="0"/>
          <w:sz w:val="24"/>
          <w:szCs w:val="24"/>
          <w:highlight w:val="none"/>
          <w:lang w:val="en-US" w:eastAsia="zh-CN"/>
        </w:rPr>
        <w:t xml:space="preserve"> 用工违约 </w:t>
      </w:r>
    </w:p>
    <w:p w14:paraId="785F4D3F">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4.26.1</w:t>
      </w:r>
      <w:r>
        <w:rPr>
          <w:rFonts w:hint="eastAsia" w:ascii="宋体" w:hAnsi="宋体" w:eastAsia="宋体" w:cs="宋体"/>
          <w:b w:val="0"/>
          <w:bCs/>
          <w:snapToGrid w:val="0"/>
          <w:color w:val="auto"/>
          <w:spacing w:val="0"/>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在合同履行期间，如经查实承包人拖欠或克扣农民工或劳务工工资，导致劳资纠纷或发生危及公共安全或正常社会秩序的事件的，按承包人违约处理，承包人应按拖欠或克扣农民工工资总金额 2 倍的标准向发包人缴纳惩罚性违约金。 </w:t>
      </w:r>
    </w:p>
    <w:p w14:paraId="1296D802">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w:t>
      </w:r>
      <w:r>
        <w:rPr>
          <w:rFonts w:hint="eastAsia" w:ascii="宋体" w:hAnsi="宋体" w:eastAsia="宋体" w:cs="宋体"/>
          <w:b w:val="0"/>
          <w:bCs/>
          <w:snapToGrid w:val="0"/>
          <w:color w:val="auto"/>
          <w:spacing w:val="0"/>
          <w:kern w:val="0"/>
          <w:sz w:val="24"/>
          <w:szCs w:val="24"/>
          <w:highlight w:val="none"/>
          <w:lang w:val="en-US" w:eastAsia="zh-CN"/>
        </w:rPr>
        <w:t xml:space="preserve"> 安全文明施工违约 </w:t>
      </w:r>
    </w:p>
    <w:p w14:paraId="06B7F9F6">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4.27.1</w:t>
      </w:r>
      <w:r>
        <w:rPr>
          <w:rFonts w:hint="eastAsia" w:ascii="宋体" w:hAnsi="宋体" w:eastAsia="宋体" w:cs="宋体"/>
          <w:b w:val="0"/>
          <w:bCs/>
          <w:snapToGrid w:val="0"/>
          <w:color w:val="auto"/>
          <w:spacing w:val="0"/>
          <w:kern w:val="0"/>
          <w:sz w:val="24"/>
          <w:szCs w:val="24"/>
          <w:highlight w:val="none"/>
          <w:lang w:val="en-US" w:eastAsia="zh-CN"/>
        </w:rPr>
        <w:t xml:space="preserve"> 如承包人违反国家、广东省、发包人及合同关于安全文明施工的规定，但尚未造成安全责任事故，承包人应及时改正行为并赔偿相关方的损失，如未及时整改,针对每一违约行为每持续一天应缴纳违约金 1000.00 元。</w:t>
      </w:r>
    </w:p>
    <w:p w14:paraId="65F287A4">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4.27.2</w:t>
      </w:r>
      <w:r>
        <w:rPr>
          <w:rFonts w:hint="eastAsia" w:ascii="宋体" w:hAnsi="宋体" w:eastAsia="宋体" w:cs="宋体"/>
          <w:b w:val="0"/>
          <w:bCs/>
          <w:snapToGrid w:val="0"/>
          <w:color w:val="auto"/>
          <w:spacing w:val="0"/>
          <w:kern w:val="0"/>
          <w:sz w:val="24"/>
          <w:szCs w:val="24"/>
          <w:highlight w:val="none"/>
          <w:lang w:val="en-US" w:eastAsia="zh-CN"/>
        </w:rPr>
        <w:t xml:space="preserve"> 承包人必须接受发包人及监理单位组织的安全、文明施工的检查，检查中的不合格项目、安全隐患必须在规定的时间内整改完成，否则每拖延一天处以 2000.00 元人民币违约金，直至整改合格。 </w:t>
      </w:r>
    </w:p>
    <w:p w14:paraId="66076E8C">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4.28</w:t>
      </w:r>
      <w:r>
        <w:rPr>
          <w:rFonts w:hint="eastAsia" w:ascii="宋体" w:hAnsi="宋体" w:eastAsia="宋体" w:cs="宋体"/>
          <w:b w:val="0"/>
          <w:bCs/>
          <w:snapToGrid w:val="0"/>
          <w:color w:val="auto"/>
          <w:spacing w:val="0"/>
          <w:kern w:val="0"/>
          <w:sz w:val="24"/>
          <w:szCs w:val="24"/>
          <w:highlight w:val="none"/>
          <w:lang w:val="en-US" w:eastAsia="zh-CN"/>
        </w:rPr>
        <w:t xml:space="preserve"> 其他违约 </w:t>
      </w:r>
    </w:p>
    <w:p w14:paraId="451E9E3D">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4.28.1</w:t>
      </w:r>
      <w:r>
        <w:rPr>
          <w:rFonts w:hint="eastAsia" w:ascii="宋体" w:hAnsi="宋体" w:eastAsia="宋体" w:cs="宋体"/>
          <w:b w:val="0"/>
          <w:bCs/>
          <w:snapToGrid w:val="0"/>
          <w:color w:val="auto"/>
          <w:spacing w:val="0"/>
          <w:kern w:val="0"/>
          <w:sz w:val="24"/>
          <w:szCs w:val="24"/>
          <w:highlight w:val="none"/>
          <w:lang w:val="en-US" w:eastAsia="zh-CN"/>
        </w:rPr>
        <w:t xml:space="preserve"> 承包人安排在施工场地的主要管理人员（主要指项目经理、项目技术负责人和专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 </w:t>
      </w:r>
    </w:p>
    <w:p w14:paraId="5397CDC0">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4.28.2</w:t>
      </w:r>
      <w:r>
        <w:rPr>
          <w:rFonts w:hint="eastAsia" w:ascii="宋体" w:hAnsi="宋体" w:eastAsia="宋体" w:cs="宋体"/>
          <w:b w:val="0"/>
          <w:bCs/>
          <w:snapToGrid w:val="0"/>
          <w:color w:val="auto"/>
          <w:spacing w:val="0"/>
          <w:kern w:val="0"/>
          <w:sz w:val="24"/>
          <w:szCs w:val="24"/>
          <w:highlight w:val="none"/>
          <w:lang w:val="en-US" w:eastAsia="zh-CN"/>
        </w:rPr>
        <w:t xml:space="preserve"> 中标人施工资料必须与形象进度同步。 </w:t>
      </w:r>
    </w:p>
    <w:p w14:paraId="2450448F">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lang w:val="en-US" w:eastAsia="zh-CN" w:bidi="ar-SA"/>
        </w:rPr>
      </w:pPr>
      <w:r>
        <w:rPr>
          <w:rFonts w:hint="eastAsia" w:ascii="宋体" w:hAnsi="宋体" w:eastAsia="宋体" w:cs="宋体"/>
          <w:b/>
          <w:bCs w:val="0"/>
          <w:snapToGrid w:val="0"/>
          <w:color w:val="auto"/>
          <w:spacing w:val="0"/>
          <w:kern w:val="0"/>
          <w:sz w:val="24"/>
          <w:szCs w:val="24"/>
          <w:highlight w:val="none"/>
          <w:lang w:val="en-US" w:eastAsia="zh-CN"/>
        </w:rPr>
        <w:t>4.28.3</w:t>
      </w:r>
      <w:r>
        <w:rPr>
          <w:rFonts w:hint="eastAsia" w:ascii="宋体" w:hAnsi="宋体" w:eastAsia="宋体" w:cs="宋体"/>
          <w:b w:val="0"/>
          <w:bCs/>
          <w:snapToGrid w:val="0"/>
          <w:color w:val="auto"/>
          <w:spacing w:val="0"/>
          <w:kern w:val="0"/>
          <w:sz w:val="24"/>
          <w:szCs w:val="24"/>
          <w:highlight w:val="none"/>
          <w:lang w:val="en-US" w:eastAsia="zh-CN"/>
        </w:rPr>
        <w:t xml:space="preserve"> 承包人没有正当合理的理由中途退场，可扣除承包人已递交的所有履约风险保证金。承包人因上述违约行为而须缴纳的违约金在工程进度款中或结算时一并扣除。</w:t>
      </w:r>
    </w:p>
    <w:p w14:paraId="622679CA">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bCs w:val="0"/>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5.其他合同条款由招标人根据本工程实际情况和地方政策与中标人自行协商约定</w:t>
      </w:r>
    </w:p>
    <w:p w14:paraId="510EB282">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bCs w:val="0"/>
          <w:snapToGrid w:val="0"/>
          <w:color w:val="auto"/>
          <w:spacing w:val="0"/>
          <w:kern w:val="0"/>
          <w:sz w:val="24"/>
          <w:szCs w:val="24"/>
          <w:highlight w:val="none"/>
          <w:lang w:val="en-US" w:eastAsia="zh-CN"/>
        </w:rPr>
      </w:pPr>
    </w:p>
    <w:p w14:paraId="070AF32A">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bCs w:val="0"/>
          <w:snapToGrid w:val="0"/>
          <w:color w:val="auto"/>
          <w:spacing w:val="0"/>
          <w:kern w:val="0"/>
          <w:sz w:val="24"/>
          <w:szCs w:val="24"/>
          <w:highlight w:val="none"/>
          <w:lang w:val="en-US" w:eastAsia="zh-CN"/>
        </w:rPr>
      </w:pPr>
    </w:p>
    <w:p w14:paraId="652B9014">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bCs w:val="0"/>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附件：材料设备技术要求参考标准(或不低于)</w:t>
      </w:r>
    </w:p>
    <w:p w14:paraId="7181019D">
      <w:pPr>
        <w:keepNext w:val="0"/>
        <w:keepLines w:val="0"/>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bCs w:val="0"/>
          <w:snapToGrid w:val="0"/>
          <w:color w:val="auto"/>
          <w:spacing w:val="0"/>
          <w:kern w:val="0"/>
          <w:sz w:val="24"/>
          <w:szCs w:val="24"/>
          <w:highlight w:val="none"/>
          <w:lang w:val="en-US" w:eastAsia="zh-CN"/>
        </w:rPr>
      </w:pP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1929"/>
        <w:gridCol w:w="6838"/>
      </w:tblGrid>
      <w:tr w14:paraId="44A8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000" w:type="pct"/>
            <w:gridSpan w:val="3"/>
            <w:vAlign w:val="center"/>
          </w:tcPr>
          <w:p w14:paraId="26D8589C">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240" w:lineRule="auto"/>
              <w:ind w:left="0" w:right="0"/>
              <w:jc w:val="center"/>
              <w:rPr>
                <w:rFonts w:hint="eastAsia" w:ascii="宋体" w:hAnsi="宋体" w:eastAsia="宋体" w:cs="宋体"/>
                <w:b/>
                <w:bCs w:val="0"/>
                <w:snapToGrid w:val="0"/>
                <w:color w:val="auto"/>
                <w:spacing w:val="0"/>
                <w:kern w:val="0"/>
                <w:sz w:val="24"/>
                <w:szCs w:val="24"/>
                <w:highlight w:val="none"/>
                <w:vertAlign w:val="baseline"/>
                <w:lang w:val="en-US" w:eastAsia="zh-CN"/>
              </w:rPr>
            </w:pPr>
            <w:r>
              <w:rPr>
                <w:rFonts w:hint="eastAsia" w:ascii="宋体" w:hAnsi="宋体" w:eastAsia="宋体" w:cs="宋体"/>
                <w:b/>
                <w:bCs w:val="0"/>
                <w:snapToGrid w:val="0"/>
                <w:color w:val="auto"/>
                <w:spacing w:val="0"/>
                <w:kern w:val="0"/>
                <w:sz w:val="24"/>
                <w:szCs w:val="24"/>
                <w:highlight w:val="none"/>
                <w:lang w:val="en-US" w:eastAsia="zh-CN"/>
              </w:rPr>
              <w:t>《北江智算中心(机电)项目材料设备技术要求参考标准(或不低于)》</w:t>
            </w:r>
          </w:p>
        </w:tc>
      </w:tr>
      <w:tr w14:paraId="12C3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5000" w:type="pct"/>
            <w:gridSpan w:val="3"/>
            <w:vAlign w:val="center"/>
          </w:tcPr>
          <w:p w14:paraId="26B895C4">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240" w:lineRule="auto"/>
              <w:ind w:left="0" w:right="0"/>
              <w:jc w:val="left"/>
              <w:rPr>
                <w:rFonts w:hint="eastAsia" w:ascii="宋体" w:hAnsi="宋体" w:eastAsia="宋体" w:cs="宋体"/>
                <w:b/>
                <w:bCs w:val="0"/>
                <w:snapToGrid w:val="0"/>
                <w:color w:val="auto"/>
                <w:spacing w:val="0"/>
                <w:kern w:val="0"/>
                <w:sz w:val="24"/>
                <w:szCs w:val="24"/>
                <w:highlight w:val="none"/>
                <w:vertAlign w:val="baseline"/>
                <w:lang w:val="en-US" w:eastAsia="zh-CN"/>
              </w:rPr>
            </w:pPr>
            <w:r>
              <w:rPr>
                <w:rFonts w:hint="eastAsia" w:ascii="宋体" w:hAnsi="宋体" w:eastAsia="宋体" w:cs="宋体"/>
                <w:b w:val="0"/>
                <w:bCs/>
                <w:snapToGrid w:val="0"/>
                <w:color w:val="auto"/>
                <w:spacing w:val="0"/>
                <w:kern w:val="0"/>
                <w:sz w:val="24"/>
                <w:szCs w:val="24"/>
                <w:highlight w:val="none"/>
                <w:lang w:val="en-US" w:eastAsia="zh-CN"/>
              </w:rPr>
              <w:t>北江智算中心(机电)项目材料设备技术要求参考标准详见下表，本招标项目若涉及以下材料设备，将按此表的标准进行推荐。</w:t>
            </w:r>
          </w:p>
        </w:tc>
      </w:tr>
      <w:tr w14:paraId="3B68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7" w:type="pct"/>
            <w:vAlign w:val="center"/>
          </w:tcPr>
          <w:p w14:paraId="2C87AA3B">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240" w:lineRule="auto"/>
              <w:ind w:left="0" w:right="0"/>
              <w:jc w:val="center"/>
              <w:rPr>
                <w:rFonts w:hint="default" w:ascii="宋体" w:hAnsi="宋体" w:eastAsia="宋体" w:cs="宋体"/>
                <w:b/>
                <w:bCs w:val="0"/>
                <w:snapToGrid w:val="0"/>
                <w:color w:val="auto"/>
                <w:spacing w:val="0"/>
                <w:kern w:val="0"/>
                <w:sz w:val="24"/>
                <w:szCs w:val="24"/>
                <w:highlight w:val="none"/>
                <w:vertAlign w:val="baseline"/>
                <w:lang w:val="en-US" w:eastAsia="zh-CN"/>
              </w:rPr>
            </w:pPr>
            <w:r>
              <w:rPr>
                <w:rFonts w:hint="eastAsia" w:ascii="宋体" w:hAnsi="宋体" w:eastAsia="宋体" w:cs="宋体"/>
                <w:b/>
                <w:bCs w:val="0"/>
                <w:snapToGrid w:val="0"/>
                <w:color w:val="auto"/>
                <w:spacing w:val="0"/>
                <w:kern w:val="0"/>
                <w:sz w:val="24"/>
                <w:szCs w:val="24"/>
                <w:highlight w:val="none"/>
                <w:vertAlign w:val="baseline"/>
                <w:lang w:val="en-US" w:eastAsia="zh-CN"/>
              </w:rPr>
              <w:t>序号</w:t>
            </w:r>
          </w:p>
        </w:tc>
        <w:tc>
          <w:tcPr>
            <w:tcW w:w="1002" w:type="pct"/>
            <w:vAlign w:val="center"/>
          </w:tcPr>
          <w:p w14:paraId="528D8DA0">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240" w:lineRule="auto"/>
              <w:ind w:left="0" w:right="0"/>
              <w:jc w:val="center"/>
              <w:rPr>
                <w:rFonts w:hint="default" w:ascii="宋体" w:hAnsi="宋体" w:eastAsia="宋体" w:cs="宋体"/>
                <w:b/>
                <w:bCs w:val="0"/>
                <w:snapToGrid w:val="0"/>
                <w:color w:val="auto"/>
                <w:spacing w:val="0"/>
                <w:kern w:val="0"/>
                <w:sz w:val="24"/>
                <w:szCs w:val="24"/>
                <w:highlight w:val="none"/>
                <w:vertAlign w:val="baseline"/>
                <w:lang w:val="en-US" w:eastAsia="zh-CN"/>
              </w:rPr>
            </w:pPr>
            <w:r>
              <w:rPr>
                <w:rFonts w:hint="eastAsia" w:ascii="宋体" w:hAnsi="宋体" w:eastAsia="宋体" w:cs="宋体"/>
                <w:b/>
                <w:bCs w:val="0"/>
                <w:snapToGrid w:val="0"/>
                <w:color w:val="auto"/>
                <w:spacing w:val="0"/>
                <w:kern w:val="0"/>
                <w:sz w:val="24"/>
                <w:szCs w:val="24"/>
                <w:highlight w:val="none"/>
                <w:vertAlign w:val="baseline"/>
                <w:lang w:val="en-US" w:eastAsia="zh-CN"/>
              </w:rPr>
              <w:t>材料名称</w:t>
            </w:r>
          </w:p>
        </w:tc>
        <w:tc>
          <w:tcPr>
            <w:tcW w:w="3550" w:type="pct"/>
            <w:vAlign w:val="center"/>
          </w:tcPr>
          <w:p w14:paraId="0888DC7A">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240" w:lineRule="auto"/>
              <w:ind w:left="0" w:right="0"/>
              <w:jc w:val="center"/>
              <w:rPr>
                <w:rFonts w:hint="eastAsia" w:ascii="宋体" w:hAnsi="宋体" w:eastAsia="宋体" w:cs="宋体"/>
                <w:b/>
                <w:bCs w:val="0"/>
                <w:snapToGrid w:val="0"/>
                <w:color w:val="auto"/>
                <w:spacing w:val="0"/>
                <w:kern w:val="0"/>
                <w:sz w:val="24"/>
                <w:szCs w:val="24"/>
                <w:highlight w:val="none"/>
                <w:vertAlign w:val="baseline"/>
                <w:lang w:val="en-US" w:eastAsia="zh-CN"/>
              </w:rPr>
            </w:pPr>
            <w:r>
              <w:rPr>
                <w:rFonts w:hint="eastAsia" w:ascii="宋体" w:hAnsi="宋体" w:eastAsia="宋体" w:cs="宋体"/>
                <w:b/>
                <w:bCs w:val="0"/>
                <w:snapToGrid w:val="0"/>
                <w:color w:val="auto"/>
                <w:spacing w:val="0"/>
                <w:kern w:val="0"/>
                <w:sz w:val="24"/>
                <w:szCs w:val="24"/>
                <w:highlight w:val="none"/>
                <w:vertAlign w:val="baseline"/>
                <w:lang w:val="en-US" w:eastAsia="zh-CN"/>
              </w:rPr>
              <w:t>品牌</w:t>
            </w:r>
          </w:p>
        </w:tc>
      </w:tr>
      <w:tr w14:paraId="182B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447" w:type="pct"/>
            <w:vAlign w:val="center"/>
          </w:tcPr>
          <w:p w14:paraId="482FD2CA">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240" w:lineRule="auto"/>
              <w:ind w:left="0" w:right="0"/>
              <w:jc w:val="center"/>
              <w:rPr>
                <w:rFonts w:hint="default" w:ascii="宋体" w:hAnsi="宋体" w:eastAsia="宋体" w:cs="宋体"/>
                <w:b w:val="0"/>
                <w:bCs/>
                <w:snapToGrid w:val="0"/>
                <w:color w:val="auto"/>
                <w:spacing w:val="0"/>
                <w:kern w:val="0"/>
                <w:sz w:val="24"/>
                <w:szCs w:val="24"/>
                <w:highlight w:val="none"/>
                <w:vertAlign w:val="baseline"/>
                <w:lang w:val="en-US" w:eastAsia="zh-CN"/>
              </w:rPr>
            </w:pPr>
            <w:r>
              <w:rPr>
                <w:rFonts w:hint="eastAsia" w:ascii="宋体" w:hAnsi="宋体" w:eastAsia="宋体" w:cs="宋体"/>
                <w:b w:val="0"/>
                <w:bCs/>
                <w:snapToGrid w:val="0"/>
                <w:color w:val="auto"/>
                <w:spacing w:val="0"/>
                <w:kern w:val="0"/>
                <w:sz w:val="24"/>
                <w:szCs w:val="24"/>
                <w:highlight w:val="none"/>
                <w:vertAlign w:val="baseline"/>
                <w:lang w:val="en-US" w:eastAsia="zh-CN"/>
              </w:rPr>
              <w:t>1</w:t>
            </w:r>
          </w:p>
        </w:tc>
        <w:tc>
          <w:tcPr>
            <w:tcW w:w="1002" w:type="pct"/>
            <w:vAlign w:val="center"/>
          </w:tcPr>
          <w:p w14:paraId="31F1D142">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240" w:lineRule="auto"/>
              <w:ind w:left="0" w:right="0"/>
              <w:jc w:val="center"/>
              <w:rPr>
                <w:rFonts w:hint="eastAsia" w:ascii="宋体" w:hAnsi="宋体" w:eastAsia="宋体" w:cs="宋体"/>
                <w:b w:val="0"/>
                <w:bCs/>
                <w:snapToGrid w:val="0"/>
                <w:color w:val="auto"/>
                <w:spacing w:val="0"/>
                <w:kern w:val="0"/>
                <w:sz w:val="24"/>
                <w:szCs w:val="24"/>
                <w:highlight w:val="none"/>
                <w:vertAlign w:val="baseline"/>
                <w:lang w:val="en-US" w:eastAsia="zh-CN"/>
              </w:rPr>
            </w:pPr>
            <w:r>
              <w:rPr>
                <w:rFonts w:hint="eastAsia" w:ascii="宋体" w:hAnsi="宋体" w:eastAsia="宋体" w:cs="宋体"/>
                <w:b w:val="0"/>
                <w:bCs/>
                <w:snapToGrid w:val="0"/>
                <w:color w:val="auto"/>
                <w:spacing w:val="0"/>
                <w:kern w:val="0"/>
                <w:sz w:val="24"/>
                <w:szCs w:val="24"/>
                <w:highlight w:val="none"/>
                <w:vertAlign w:val="baseline"/>
                <w:lang w:val="en-US" w:eastAsia="zh-CN"/>
              </w:rPr>
              <w:t>电线电缆</w:t>
            </w:r>
          </w:p>
        </w:tc>
        <w:tc>
          <w:tcPr>
            <w:tcW w:w="3550" w:type="pct"/>
            <w:vAlign w:val="center"/>
          </w:tcPr>
          <w:p w14:paraId="74418EC1">
            <w:pPr>
              <w:keepNext w:val="0"/>
              <w:keepLines w:val="0"/>
              <w:pageBreakBefore w:val="0"/>
              <w:widowControl w:val="0"/>
              <w:suppressLineNumbers w:val="0"/>
              <w:kinsoku/>
              <w:wordWrap w:val="0"/>
              <w:overflowPunct/>
              <w:topLinePunct/>
              <w:bidi w:val="0"/>
              <w:adjustRightInd w:val="0"/>
              <w:snapToGrid w:val="0"/>
              <w:spacing w:before="0" w:beforeAutospacing="0" w:after="0" w:afterAutospacing="0" w:line="240" w:lineRule="auto"/>
              <w:ind w:left="0" w:right="0"/>
              <w:jc w:val="center"/>
              <w:rPr>
                <w:rFonts w:hint="eastAsia" w:ascii="宋体" w:hAnsi="宋体" w:eastAsia="宋体" w:cs="宋体"/>
                <w:b w:val="0"/>
                <w:bCs/>
                <w:snapToGrid w:val="0"/>
                <w:color w:val="auto"/>
                <w:spacing w:val="0"/>
                <w:kern w:val="0"/>
                <w:sz w:val="24"/>
                <w:szCs w:val="24"/>
                <w:highlight w:val="none"/>
                <w:vertAlign w:val="baseline"/>
                <w:lang w:val="en-US" w:eastAsia="zh-CN"/>
              </w:rPr>
            </w:pPr>
            <w:r>
              <w:rPr>
                <w:rFonts w:hint="eastAsia" w:ascii="宋体" w:hAnsi="宋体" w:eastAsia="宋体" w:cs="宋体"/>
                <w:b w:val="0"/>
                <w:bCs/>
                <w:snapToGrid w:val="0"/>
                <w:color w:val="auto"/>
                <w:spacing w:val="0"/>
                <w:kern w:val="0"/>
                <w:sz w:val="24"/>
                <w:szCs w:val="24"/>
                <w:highlight w:val="none"/>
                <w:vertAlign w:val="baseline"/>
                <w:lang w:val="en-US" w:eastAsia="zh-CN"/>
              </w:rPr>
              <w:t>江苏宝胜、无锡远东、江苏亨通、上海胜华、胜宇、广州电缆</w:t>
            </w:r>
          </w:p>
        </w:tc>
      </w:tr>
    </w:tbl>
    <w:p w14:paraId="06832314">
      <w:pPr>
        <w:keepNext w:val="0"/>
        <w:keepLines w:val="0"/>
        <w:pageBreakBefore w:val="0"/>
        <w:kinsoku/>
        <w:wordWrap w:val="0"/>
        <w:overflowPunct/>
        <w:topLinePunct/>
        <w:bidi w:val="0"/>
        <w:adjustRightInd w:val="0"/>
        <w:snapToGrid w:val="0"/>
        <w:spacing w:line="360" w:lineRule="auto"/>
        <w:ind w:firstLine="482" w:firstLineChars="200"/>
        <w:jc w:val="center"/>
        <w:rPr>
          <w:rFonts w:hint="eastAsia" w:ascii="宋体" w:hAnsi="宋体" w:eastAsia="宋体" w:cs="宋体"/>
          <w:b/>
          <w:bCs w:val="0"/>
          <w:snapToGrid w:val="0"/>
          <w:color w:val="auto"/>
          <w:spacing w:val="0"/>
          <w:kern w:val="0"/>
          <w:sz w:val="24"/>
          <w:szCs w:val="24"/>
          <w:highlight w:val="none"/>
          <w:lang w:val="en-US" w:eastAsia="zh-CN"/>
        </w:rPr>
      </w:pPr>
    </w:p>
    <w:p w14:paraId="7CB27009">
      <w:pPr>
        <w:keepNext w:val="0"/>
        <w:keepLines w:val="0"/>
        <w:pageBreakBefore w:val="0"/>
        <w:kinsoku/>
        <w:wordWrap w:val="0"/>
        <w:overflowPunct/>
        <w:topLinePunct/>
        <w:bidi w:val="0"/>
        <w:adjustRightInd w:val="0"/>
        <w:snapToGrid w:val="0"/>
        <w:spacing w:line="360" w:lineRule="auto"/>
        <w:ind w:firstLine="482" w:firstLineChars="200"/>
        <w:jc w:val="center"/>
        <w:rPr>
          <w:rFonts w:hint="eastAsia" w:ascii="宋体" w:hAnsi="宋体" w:eastAsia="宋体" w:cs="宋体"/>
          <w:b/>
          <w:bCs w:val="0"/>
          <w:snapToGrid w:val="0"/>
          <w:color w:val="auto"/>
          <w:spacing w:val="0"/>
          <w:kern w:val="0"/>
          <w:sz w:val="24"/>
          <w:szCs w:val="24"/>
          <w:highlight w:val="none"/>
          <w:lang w:val="en-US" w:eastAsia="zh-CN"/>
        </w:rPr>
      </w:pPr>
    </w:p>
    <w:p w14:paraId="44AD74F0">
      <w:pPr>
        <w:keepNext w:val="0"/>
        <w:keepLines w:val="0"/>
        <w:pageBreakBefore w:val="0"/>
        <w:kinsoku/>
        <w:wordWrap w:val="0"/>
        <w:overflowPunct/>
        <w:topLinePunct/>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02C95023">
      <w:pPr>
        <w:keepNext w:val="0"/>
        <w:keepLines w:val="0"/>
        <w:pageBreakBefore w:val="0"/>
        <w:kinsoku/>
        <w:wordWrap w:val="0"/>
        <w:overflowPunct/>
        <w:topLinePunct/>
        <w:bidi w:val="0"/>
        <w:spacing w:before="78" w:line="219" w:lineRule="auto"/>
        <w:ind w:left="3273"/>
        <w:outlineLvl w:val="0"/>
        <w:rPr>
          <w:rFonts w:hint="eastAsia" w:ascii="宋体" w:hAnsi="宋体" w:eastAsia="宋体" w:cs="宋体"/>
          <w:color w:val="auto"/>
          <w:spacing w:val="0"/>
          <w:sz w:val="28"/>
          <w:szCs w:val="28"/>
          <w:highlight w:val="none"/>
        </w:rPr>
      </w:pPr>
      <w:bookmarkStart w:id="165" w:name="_Toc18975"/>
      <w:r>
        <w:rPr>
          <w:rFonts w:hint="eastAsia" w:ascii="宋体" w:hAnsi="宋体" w:eastAsia="宋体" w:cs="宋体"/>
          <w:b/>
          <w:bCs/>
          <w:color w:val="auto"/>
          <w:spacing w:val="0"/>
          <w:sz w:val="28"/>
          <w:szCs w:val="28"/>
          <w:highlight w:val="none"/>
        </w:rPr>
        <w:t>第四章</w:t>
      </w:r>
      <w:r>
        <w:rPr>
          <w:rFonts w:hint="eastAsia" w:ascii="宋体" w:hAnsi="宋体" w:eastAsia="宋体" w:cs="宋体"/>
          <w:color w:val="auto"/>
          <w:spacing w:val="0"/>
          <w:sz w:val="28"/>
          <w:szCs w:val="28"/>
          <w:highlight w:val="none"/>
        </w:rPr>
        <w:t xml:space="preserve"> </w:t>
      </w:r>
      <w:r>
        <w:rPr>
          <w:rFonts w:hint="eastAsia" w:ascii="宋体" w:hAnsi="宋体" w:eastAsia="宋体" w:cs="宋体"/>
          <w:b/>
          <w:bCs/>
          <w:color w:val="auto"/>
          <w:spacing w:val="0"/>
          <w:sz w:val="28"/>
          <w:szCs w:val="28"/>
          <w:highlight w:val="none"/>
        </w:rPr>
        <w:t>技术要求</w:t>
      </w:r>
      <w:bookmarkEnd w:id="165"/>
    </w:p>
    <w:p w14:paraId="4A654B77">
      <w:pPr>
        <w:pStyle w:val="6"/>
        <w:keepNext w:val="0"/>
        <w:keepLines w:val="0"/>
        <w:pageBreakBefore w:val="0"/>
        <w:kinsoku/>
        <w:wordWrap w:val="0"/>
        <w:overflowPunct/>
        <w:topLinePunct/>
        <w:bidi w:val="0"/>
        <w:spacing w:line="257" w:lineRule="auto"/>
        <w:rPr>
          <w:rFonts w:hint="eastAsia" w:ascii="宋体" w:hAnsi="宋体" w:eastAsia="宋体" w:cs="宋体"/>
          <w:color w:val="auto"/>
          <w:spacing w:val="0"/>
          <w:sz w:val="36"/>
          <w:szCs w:val="36"/>
          <w:highlight w:val="none"/>
        </w:rPr>
      </w:pPr>
    </w:p>
    <w:p w14:paraId="5A01D74A">
      <w:pPr>
        <w:keepNext w:val="0"/>
        <w:keepLines w:val="0"/>
        <w:pageBreakBefore w:val="0"/>
        <w:kinsoku/>
        <w:wordWrap w:val="0"/>
        <w:overflowPunct/>
        <w:topLinePunct/>
        <w:autoSpaceDE w:val="0"/>
        <w:autoSpaceDN w:val="0"/>
        <w:bidi w:val="0"/>
        <w:adjustRightInd w:val="0"/>
        <w:snapToGrid w:val="0"/>
        <w:spacing w:line="360" w:lineRule="auto"/>
        <w:ind w:left="125"/>
        <w:textAlignment w:val="baseline"/>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lang w:val="en-US" w:eastAsia="zh-CN"/>
        </w:rPr>
        <w:t>1.本项目施工招标必须执行的现行技术规范，包括且不限于：</w:t>
      </w:r>
    </w:p>
    <w:p w14:paraId="7C8B28C7">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(1)DL/T 620-1997 交流电气装置的过电压保护和绝缘配合</w:t>
      </w:r>
    </w:p>
    <w:p w14:paraId="1B29E143">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(2)DL/T 621-1997 交流电气装置的接地</w:t>
      </w:r>
    </w:p>
    <w:p w14:paraId="32AEE3CC">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(3)中国南方电网城市配电网技术导则</w:t>
      </w:r>
    </w:p>
    <w:p w14:paraId="21F73876">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(4)DL/T 599-2005 城市中低压配电网改造技术导则</w:t>
      </w:r>
    </w:p>
    <w:p w14:paraId="5618DFC1">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(5)GB 50293-1999 城市电力规划规范</w:t>
      </w:r>
    </w:p>
    <w:p w14:paraId="66C50DCE">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(6)GB 50061-2010 66kV及以下架空电力线路设计规范</w:t>
      </w:r>
    </w:p>
    <w:p w14:paraId="28618F88">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(7)GB 50052-2009 供配电系统设计规范</w:t>
      </w:r>
    </w:p>
    <w:p w14:paraId="765817BB">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(8)GB 50053-1994 10kV及以下变电所设计规范</w:t>
      </w:r>
    </w:p>
    <w:p w14:paraId="32854944">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(9)DL/T 601-1996 架空绝缘配电线路设计技术规程</w:t>
      </w:r>
    </w:p>
    <w:p w14:paraId="42AE6F73">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(10)GB 50217-2007 电力工程电缆设计规范</w:t>
      </w:r>
    </w:p>
    <w:p w14:paraId="5146256C">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(11)GB 50054-2011 低压配电设计规范</w:t>
      </w:r>
    </w:p>
    <w:p w14:paraId="17FF9B8E">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(12)工程建设标准强制性条文（电力工程部分）2006年版</w:t>
      </w:r>
    </w:p>
    <w:p w14:paraId="190D3323">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(13)GB/T 4623-2006 环形混凝土电杆</w:t>
      </w:r>
    </w:p>
    <w:p w14:paraId="0685BD6E">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(14)DL/T 5154-2002 架空送电线路杆塔结构设计技术规定</w:t>
      </w:r>
    </w:p>
    <w:p w14:paraId="4B3A2799">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(15)DL/T 5130-2001 架空送电线路钢管杆设计技术规定</w:t>
      </w:r>
    </w:p>
    <w:p w14:paraId="1CE315DC">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(16)DL/T 499-2001 农村低压电力技术规程</w:t>
      </w:r>
    </w:p>
    <w:p w14:paraId="3B62547C">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(17)DL/T 5220-2005 10kV及以下架空配电线路设计技术规程</w:t>
      </w:r>
    </w:p>
    <w:p w14:paraId="0AD49AFC">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(18)DL/T 5219-2005 架空送电线路基础设计技术规定</w:t>
      </w:r>
    </w:p>
    <w:p w14:paraId="1CDB47FB">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(19)GB 50060-2008 3～110kV高压配电装置设计规范</w:t>
      </w:r>
    </w:p>
    <w:p w14:paraId="6F0D9BD9">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(20)GB/T 50062-2008 电力装置的继电保护和自动装置设计规范</w:t>
      </w:r>
    </w:p>
    <w:p w14:paraId="73F93BF6">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(2</w:t>
      </w:r>
      <w:r>
        <w:rPr>
          <w:rFonts w:hint="eastAsia" w:ascii="宋体" w:hAnsi="宋体" w:eastAsia="宋体" w:cs="宋体"/>
          <w:snapToGrid w:val="0"/>
          <w:color w:val="auto"/>
          <w:spacing w:val="0"/>
          <w:sz w:val="24"/>
          <w:szCs w:val="24"/>
          <w:highlight w:val="none"/>
          <w:lang w:val="en-US" w:eastAsia="zh-CN" w:bidi="ar-SA"/>
        </w:rPr>
        <w:t>1</w:t>
      </w:r>
      <w:r>
        <w:rPr>
          <w:rFonts w:hint="default" w:ascii="宋体" w:hAnsi="宋体" w:eastAsia="宋体" w:cs="宋体"/>
          <w:snapToGrid w:val="0"/>
          <w:color w:val="auto"/>
          <w:spacing w:val="0"/>
          <w:sz w:val="24"/>
          <w:szCs w:val="24"/>
          <w:highlight w:val="none"/>
          <w:lang w:val="en-US" w:eastAsia="en-US" w:bidi="ar-SA"/>
        </w:rPr>
        <w:t>)JGJ/T 16-2008 民用建筑电气设计规范</w:t>
      </w:r>
    </w:p>
    <w:p w14:paraId="1A5DA395">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default"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(2</w:t>
      </w:r>
      <w:r>
        <w:rPr>
          <w:rFonts w:hint="eastAsia" w:ascii="宋体" w:hAnsi="宋体" w:eastAsia="宋体" w:cs="宋体"/>
          <w:snapToGrid w:val="0"/>
          <w:color w:val="auto"/>
          <w:spacing w:val="0"/>
          <w:sz w:val="24"/>
          <w:szCs w:val="24"/>
          <w:highlight w:val="none"/>
          <w:lang w:val="en-US" w:eastAsia="zh-CN" w:bidi="ar-SA"/>
        </w:rPr>
        <w:t>2</w:t>
      </w:r>
      <w:r>
        <w:rPr>
          <w:rFonts w:hint="default" w:ascii="宋体" w:hAnsi="宋体" w:eastAsia="宋体" w:cs="宋体"/>
          <w:snapToGrid w:val="0"/>
          <w:color w:val="auto"/>
          <w:spacing w:val="0"/>
          <w:sz w:val="24"/>
          <w:szCs w:val="24"/>
          <w:highlight w:val="none"/>
          <w:lang w:val="en-US" w:eastAsia="en-US" w:bidi="ar-SA"/>
        </w:rPr>
        <w:t>)广东电网公司配网安健环设施标准 S.00.00.05/PM.0100.0010</w:t>
      </w:r>
    </w:p>
    <w:p w14:paraId="1E783F4A">
      <w:pPr>
        <w:pStyle w:val="6"/>
        <w:keepNext w:val="0"/>
        <w:keepLines w:val="0"/>
        <w:pageBreakBefore w:val="0"/>
        <w:widowControl w:val="0"/>
        <w:numPr>
          <w:ilvl w:val="0"/>
          <w:numId w:val="0"/>
        </w:numPr>
        <w:kinsoku/>
        <w:wordWrap w:val="0"/>
        <w:overflowPunct/>
        <w:topLinePunct/>
        <w:autoSpaceDE w:val="0"/>
        <w:autoSpaceDN w:val="0"/>
        <w:bidi w:val="0"/>
        <w:adjustRightInd w:val="0"/>
        <w:snapToGrid w:val="0"/>
        <w:spacing w:line="360" w:lineRule="auto"/>
        <w:ind w:left="425" w:leftChars="0" w:hanging="425" w:firstLineChars="0"/>
        <w:textAlignment w:val="baseline"/>
        <w:rPr>
          <w:rFonts w:hint="eastAsia" w:ascii="宋体" w:hAnsi="宋体" w:eastAsia="宋体" w:cs="宋体"/>
          <w:snapToGrid w:val="0"/>
          <w:color w:val="auto"/>
          <w:spacing w:val="0"/>
          <w:sz w:val="24"/>
          <w:szCs w:val="24"/>
          <w:highlight w:val="none"/>
          <w:lang w:val="en-US" w:eastAsia="en-US" w:bidi="ar-SA"/>
        </w:rPr>
      </w:pPr>
      <w:r>
        <w:rPr>
          <w:rFonts w:hint="default" w:ascii="宋体" w:hAnsi="宋体" w:eastAsia="宋体" w:cs="宋体"/>
          <w:snapToGrid w:val="0"/>
          <w:color w:val="auto"/>
          <w:spacing w:val="0"/>
          <w:sz w:val="24"/>
          <w:szCs w:val="24"/>
          <w:highlight w:val="none"/>
          <w:lang w:val="en-US" w:eastAsia="en-US" w:bidi="ar-SA"/>
        </w:rPr>
        <w:t>(2</w:t>
      </w:r>
      <w:r>
        <w:rPr>
          <w:rFonts w:hint="eastAsia" w:ascii="宋体" w:hAnsi="宋体" w:eastAsia="宋体" w:cs="宋体"/>
          <w:snapToGrid w:val="0"/>
          <w:color w:val="auto"/>
          <w:spacing w:val="0"/>
          <w:sz w:val="24"/>
          <w:szCs w:val="24"/>
          <w:highlight w:val="none"/>
          <w:lang w:val="en-US" w:eastAsia="zh-CN" w:bidi="ar-SA"/>
        </w:rPr>
        <w:t>3</w:t>
      </w:r>
      <w:r>
        <w:rPr>
          <w:rFonts w:hint="default" w:ascii="宋体" w:hAnsi="宋体" w:eastAsia="宋体" w:cs="宋体"/>
          <w:snapToGrid w:val="0"/>
          <w:color w:val="auto"/>
          <w:spacing w:val="0"/>
          <w:sz w:val="24"/>
          <w:szCs w:val="24"/>
          <w:highlight w:val="none"/>
          <w:lang w:val="en-US" w:eastAsia="en-US" w:bidi="ar-SA"/>
        </w:rPr>
        <w:t>)</w:t>
      </w:r>
      <w:r>
        <w:rPr>
          <w:rFonts w:hint="eastAsia" w:ascii="宋体" w:hAnsi="宋体" w:eastAsia="宋体" w:cs="宋体"/>
          <w:snapToGrid w:val="0"/>
          <w:color w:val="auto"/>
          <w:spacing w:val="0"/>
          <w:sz w:val="24"/>
          <w:szCs w:val="24"/>
          <w:highlight w:val="none"/>
          <w:lang w:val="en-US" w:eastAsia="en-US" w:bidi="ar-SA"/>
        </w:rPr>
        <w:t>其他现行国家、广东省关于电力工程或配电工程的施工及验收规范、规程、标准</w:t>
      </w:r>
    </w:p>
    <w:p w14:paraId="725067C5">
      <w:pPr>
        <w:keepNext w:val="0"/>
        <w:keepLines w:val="0"/>
        <w:pageBreakBefore w:val="0"/>
        <w:widowControl w:val="0"/>
        <w:kinsoku/>
        <w:wordWrap w:val="0"/>
        <w:overflowPunct/>
        <w:topLinePunct/>
        <w:autoSpaceDE w:val="0"/>
        <w:autoSpaceDN w:val="0"/>
        <w:bidi w:val="0"/>
        <w:adjustRightInd w:val="0"/>
        <w:snapToGrid w:val="0"/>
        <w:spacing w:line="360" w:lineRule="auto"/>
        <w:ind w:left="556"/>
        <w:textAlignment w:val="baseline"/>
        <w:outlineLvl w:val="2"/>
        <w:rPr>
          <w:rFonts w:hint="eastAsia" w:ascii="宋体" w:hAnsi="宋体" w:eastAsia="宋体" w:cs="宋体"/>
          <w:b/>
          <w:bCs/>
          <w:color w:val="auto"/>
          <w:spacing w:val="0"/>
          <w:sz w:val="24"/>
          <w:szCs w:val="24"/>
          <w:highlight w:val="none"/>
        </w:rPr>
      </w:pPr>
      <w:bookmarkStart w:id="166" w:name="_Toc9200"/>
      <w:bookmarkStart w:id="167" w:name="_Toc27118"/>
    </w:p>
    <w:p w14:paraId="5DB845E4">
      <w:pPr>
        <w:keepNext w:val="0"/>
        <w:keepLines w:val="0"/>
        <w:pageBreakBefore w:val="0"/>
        <w:widowControl w:val="0"/>
        <w:kinsoku/>
        <w:wordWrap w:val="0"/>
        <w:overflowPunct/>
        <w:topLinePunct/>
        <w:autoSpaceDE w:val="0"/>
        <w:autoSpaceDN w:val="0"/>
        <w:bidi w:val="0"/>
        <w:adjustRightInd w:val="0"/>
        <w:snapToGrid w:val="0"/>
        <w:spacing w:line="360" w:lineRule="auto"/>
        <w:textAlignment w:val="baseline"/>
        <w:outlineLvl w:val="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．备查要求</w:t>
      </w:r>
      <w:bookmarkEnd w:id="166"/>
      <w:bookmarkEnd w:id="167"/>
    </w:p>
    <w:p w14:paraId="7A7E3FCA">
      <w:pPr>
        <w:keepNext w:val="0"/>
        <w:keepLines w:val="0"/>
        <w:pageBreakBefore w:val="0"/>
        <w:widowControl w:val="0"/>
        <w:kinsoku/>
        <w:wordWrap w:val="0"/>
        <w:overflowPunct/>
        <w:topLinePunct/>
        <w:autoSpaceDE w:val="0"/>
        <w:autoSpaceDN w:val="0"/>
        <w:bidi w:val="0"/>
        <w:adjustRightInd w:val="0"/>
        <w:snapToGrid w:val="0"/>
        <w:spacing w:line="360" w:lineRule="auto"/>
        <w:ind w:right="81" w:firstLine="561"/>
        <w:jc w:val="both"/>
        <w:textAlignment w:val="baseline"/>
        <w:rPr>
          <w:rFonts w:hint="eastAsia" w:ascii="宋体" w:hAnsi="宋体" w:eastAsia="宋体" w:cs="宋体"/>
          <w:color w:val="auto"/>
          <w:spacing w:val="0"/>
          <w:highlight w:val="none"/>
        </w:rPr>
        <w:sectPr>
          <w:footerReference r:id="rId10"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0"/>
          <w:sz w:val="24"/>
          <w:szCs w:val="24"/>
          <w:highlight w:val="none"/>
        </w:rPr>
        <w:t>承包人必须在施工现场准备至少一套上述规范，发包人和监理单位可随时检查承包人的上述规范，并监督承包人按规范要求执行。</w:t>
      </w:r>
    </w:p>
    <w:p w14:paraId="39102D25">
      <w:pPr>
        <w:keepNext w:val="0"/>
        <w:keepLines w:val="0"/>
        <w:pageBreakBefore w:val="0"/>
        <w:kinsoku/>
        <w:wordWrap w:val="0"/>
        <w:overflowPunct/>
        <w:topLinePunct/>
        <w:bidi w:val="0"/>
        <w:spacing w:before="78" w:line="219" w:lineRule="auto"/>
        <w:jc w:val="center"/>
        <w:outlineLvl w:val="0"/>
        <w:rPr>
          <w:rFonts w:hint="eastAsia" w:ascii="宋体" w:hAnsi="宋体" w:eastAsia="宋体" w:cs="宋体"/>
          <w:color w:val="auto"/>
          <w:spacing w:val="0"/>
          <w:sz w:val="28"/>
          <w:szCs w:val="28"/>
          <w:highlight w:val="none"/>
        </w:rPr>
      </w:pPr>
      <w:bookmarkStart w:id="168" w:name="bookmark146"/>
      <w:bookmarkEnd w:id="168"/>
      <w:bookmarkStart w:id="169" w:name="bookmark100"/>
      <w:bookmarkEnd w:id="169"/>
      <w:bookmarkStart w:id="170" w:name="_Toc26509"/>
      <w:r>
        <w:rPr>
          <w:rFonts w:hint="eastAsia" w:ascii="宋体" w:hAnsi="宋体" w:eastAsia="宋体" w:cs="宋体"/>
          <w:b/>
          <w:bCs/>
          <w:color w:val="auto"/>
          <w:spacing w:val="0"/>
          <w:sz w:val="28"/>
          <w:szCs w:val="28"/>
          <w:highlight w:val="none"/>
        </w:rPr>
        <w:t>第五章</w:t>
      </w:r>
      <w:r>
        <w:rPr>
          <w:rFonts w:hint="eastAsia" w:ascii="宋体" w:hAnsi="宋体" w:eastAsia="宋体" w:cs="宋体"/>
          <w:color w:val="auto"/>
          <w:spacing w:val="0"/>
          <w:sz w:val="28"/>
          <w:szCs w:val="28"/>
          <w:highlight w:val="none"/>
        </w:rPr>
        <w:t xml:space="preserve"> </w:t>
      </w:r>
      <w:r>
        <w:rPr>
          <w:rFonts w:hint="eastAsia" w:ascii="宋体" w:hAnsi="宋体" w:eastAsia="宋体" w:cs="宋体"/>
          <w:b/>
          <w:bCs/>
          <w:color w:val="auto"/>
          <w:spacing w:val="0"/>
          <w:sz w:val="28"/>
          <w:szCs w:val="28"/>
          <w:highlight w:val="none"/>
        </w:rPr>
        <w:t>图纸和招标工程量清单</w:t>
      </w:r>
      <w:bookmarkEnd w:id="170"/>
    </w:p>
    <w:p w14:paraId="15200644">
      <w:pPr>
        <w:pStyle w:val="6"/>
        <w:keepNext w:val="0"/>
        <w:keepLines w:val="0"/>
        <w:pageBreakBefore w:val="0"/>
        <w:kinsoku/>
        <w:wordWrap w:val="0"/>
        <w:overflowPunct/>
        <w:topLinePunct/>
        <w:bidi w:val="0"/>
        <w:spacing w:line="283" w:lineRule="auto"/>
        <w:rPr>
          <w:rFonts w:hint="eastAsia" w:ascii="宋体" w:hAnsi="宋体" w:eastAsia="宋体" w:cs="宋体"/>
          <w:color w:val="auto"/>
          <w:spacing w:val="0"/>
          <w:highlight w:val="none"/>
        </w:rPr>
      </w:pPr>
    </w:p>
    <w:p w14:paraId="6EE99D6C">
      <w:pPr>
        <w:keepNext w:val="0"/>
        <w:keepLines w:val="0"/>
        <w:pageBreakBefore w:val="0"/>
        <w:widowControl/>
        <w:kinsoku/>
        <w:wordWrap w:val="0"/>
        <w:overflowPunct/>
        <w:topLinePunct/>
        <w:autoSpaceDE w:val="0"/>
        <w:autoSpaceDN w:val="0"/>
        <w:bidi w:val="0"/>
        <w:adjustRightInd w:val="0"/>
        <w:snapToGrid w:val="0"/>
        <w:spacing w:line="360" w:lineRule="auto"/>
        <w:ind w:left="1064"/>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□有，另附复印件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有，自行网上下载(浏览)           □无</w:t>
      </w:r>
    </w:p>
    <w:p w14:paraId="1C21E36E">
      <w:pPr>
        <w:keepNext w:val="0"/>
        <w:keepLines w:val="0"/>
        <w:pageBreakBefore w:val="0"/>
        <w:widowControl/>
        <w:kinsoku/>
        <w:wordWrap w:val="0"/>
        <w:overflowPunct/>
        <w:topLinePunct/>
        <w:autoSpaceDE w:val="0"/>
        <w:autoSpaceDN w:val="0"/>
        <w:bidi w:val="0"/>
        <w:adjustRightInd w:val="0"/>
        <w:snapToGrid w:val="0"/>
        <w:spacing w:line="360" w:lineRule="auto"/>
        <w:ind w:left="715"/>
        <w:textAlignment w:val="baseline"/>
        <w:outlineLvl w:val="2"/>
        <w:rPr>
          <w:rFonts w:hint="eastAsia" w:ascii="宋体" w:hAnsi="宋体" w:eastAsia="宋体" w:cs="宋体"/>
          <w:color w:val="auto"/>
          <w:spacing w:val="0"/>
          <w:sz w:val="24"/>
          <w:szCs w:val="24"/>
          <w:highlight w:val="none"/>
        </w:rPr>
      </w:pPr>
      <w:bookmarkStart w:id="171" w:name="_Toc24446"/>
      <w:bookmarkStart w:id="172" w:name="_Toc3785"/>
      <w:r>
        <w:rPr>
          <w:rFonts w:hint="eastAsia" w:ascii="宋体" w:hAnsi="宋体" w:eastAsia="宋体" w:cs="宋体"/>
          <w:b/>
          <w:bCs/>
          <w:color w:val="auto"/>
          <w:spacing w:val="0"/>
          <w:sz w:val="24"/>
          <w:szCs w:val="24"/>
          <w:highlight w:val="none"/>
        </w:rPr>
        <w:t>1 ．图纸</w:t>
      </w:r>
      <w:bookmarkEnd w:id="171"/>
      <w:bookmarkEnd w:id="172"/>
    </w:p>
    <w:p w14:paraId="2EBF9AB6">
      <w:pPr>
        <w:keepNext w:val="0"/>
        <w:keepLines w:val="0"/>
        <w:pageBreakBefore w:val="0"/>
        <w:widowControl/>
        <w:kinsoku/>
        <w:wordWrap w:val="0"/>
        <w:overflowPunct/>
        <w:topLinePunct/>
        <w:autoSpaceDE w:val="0"/>
        <w:autoSpaceDN w:val="0"/>
        <w:bidi w:val="0"/>
        <w:adjustRightInd w:val="0"/>
        <w:snapToGrid w:val="0"/>
        <w:spacing w:line="360" w:lineRule="auto"/>
        <w:ind w:left="230" w:firstLine="48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本招标文件随文另附施工图（电子文件）一套。</w:t>
      </w:r>
    </w:p>
    <w:p w14:paraId="6BCE90FD">
      <w:pPr>
        <w:keepNext w:val="0"/>
        <w:keepLines w:val="0"/>
        <w:pageBreakBefore w:val="0"/>
        <w:widowControl/>
        <w:kinsoku/>
        <w:wordWrap w:val="0"/>
        <w:overflowPunct/>
        <w:topLinePunct/>
        <w:autoSpaceDE w:val="0"/>
        <w:autoSpaceDN w:val="0"/>
        <w:bidi w:val="0"/>
        <w:adjustRightInd w:val="0"/>
        <w:snapToGrid w:val="0"/>
        <w:spacing w:line="360" w:lineRule="auto"/>
        <w:ind w:left="705"/>
        <w:textAlignment w:val="baseline"/>
        <w:outlineLvl w:val="2"/>
        <w:rPr>
          <w:rFonts w:hint="eastAsia" w:ascii="宋体" w:hAnsi="宋体" w:eastAsia="宋体" w:cs="宋体"/>
          <w:color w:val="auto"/>
          <w:spacing w:val="0"/>
          <w:sz w:val="24"/>
          <w:szCs w:val="24"/>
          <w:highlight w:val="none"/>
        </w:rPr>
      </w:pPr>
      <w:bookmarkStart w:id="173" w:name="_Toc9064"/>
      <w:bookmarkStart w:id="174" w:name="_Toc2361"/>
      <w:r>
        <w:rPr>
          <w:rFonts w:hint="eastAsia" w:ascii="宋体" w:hAnsi="宋体" w:eastAsia="宋体" w:cs="宋体"/>
          <w:b/>
          <w:bCs/>
          <w:color w:val="auto"/>
          <w:spacing w:val="0"/>
          <w:sz w:val="24"/>
          <w:szCs w:val="24"/>
          <w:highlight w:val="none"/>
        </w:rPr>
        <w:t>2 ．招标工程量清单</w:t>
      </w:r>
      <w:bookmarkEnd w:id="173"/>
      <w:bookmarkEnd w:id="174"/>
    </w:p>
    <w:p w14:paraId="56BF1852">
      <w:pPr>
        <w:keepNext w:val="0"/>
        <w:keepLines w:val="0"/>
        <w:pageBreakBefore w:val="0"/>
        <w:widowControl/>
        <w:kinsoku/>
        <w:wordWrap w:val="0"/>
        <w:overflowPunct/>
        <w:topLinePunct/>
        <w:autoSpaceDE w:val="0"/>
        <w:autoSpaceDN w:val="0"/>
        <w:bidi w:val="0"/>
        <w:adjustRightInd w:val="0"/>
        <w:snapToGrid w:val="0"/>
        <w:spacing w:line="360" w:lineRule="auto"/>
        <w:ind w:left="231"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本招标文件随文另附</w:t>
      </w:r>
      <w:bookmarkStart w:id="175" w:name="OLE_LINK33"/>
      <w:r>
        <w:rPr>
          <w:rFonts w:hint="eastAsia" w:ascii="宋体" w:hAnsi="宋体" w:eastAsia="宋体" w:cs="宋体"/>
          <w:color w:val="auto"/>
          <w:spacing w:val="0"/>
          <w:sz w:val="24"/>
          <w:szCs w:val="24"/>
          <w:highlight w:val="none"/>
          <w:u w:val="single"/>
        </w:rPr>
        <w:t>招标工程量清单EXCEL版</w:t>
      </w:r>
      <w:bookmarkEnd w:id="175"/>
      <w:r>
        <w:rPr>
          <w:rFonts w:hint="eastAsia" w:ascii="宋体" w:hAnsi="宋体" w:eastAsia="宋体" w:cs="宋体"/>
          <w:color w:val="auto"/>
          <w:spacing w:val="0"/>
          <w:sz w:val="24"/>
          <w:szCs w:val="24"/>
          <w:highlight w:val="none"/>
        </w:rPr>
        <w:t>电子文件一套。</w:t>
      </w:r>
    </w:p>
    <w:p w14:paraId="483CF8F4">
      <w:pPr>
        <w:keepNext w:val="0"/>
        <w:keepLines w:val="0"/>
        <w:pageBreakBefore w:val="0"/>
        <w:widowControl/>
        <w:kinsoku/>
        <w:wordWrap w:val="0"/>
        <w:overflowPunct/>
        <w:topLinePunct/>
        <w:autoSpaceDE w:val="0"/>
        <w:autoSpaceDN w:val="0"/>
        <w:bidi w:val="0"/>
        <w:adjustRightInd w:val="0"/>
        <w:snapToGrid w:val="0"/>
        <w:spacing w:line="360" w:lineRule="auto"/>
        <w:ind w:left="478" w:firstLine="241" w:firstLineChars="100"/>
        <w:textAlignment w:val="baseline"/>
        <w:rPr>
          <w:rFonts w:hint="eastAsia" w:ascii="宋体" w:hAnsi="宋体" w:eastAsia="宋体" w:cs="宋体"/>
          <w:color w:val="auto"/>
          <w:spacing w:val="0"/>
          <w:sz w:val="24"/>
          <w:szCs w:val="24"/>
          <w:highlight w:val="none"/>
        </w:rPr>
      </w:pPr>
      <w:bookmarkStart w:id="176" w:name="bookmark147"/>
      <w:bookmarkEnd w:id="176"/>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本工程按照以下依据编制</w:t>
      </w:r>
      <w:r>
        <w:rPr>
          <w:rFonts w:hint="eastAsia" w:ascii="宋体" w:hAnsi="宋体" w:eastAsia="宋体" w:cs="宋体"/>
          <w:color w:val="auto"/>
          <w:spacing w:val="0"/>
          <w:sz w:val="24"/>
          <w:szCs w:val="24"/>
          <w:highlight w:val="none"/>
          <w:u w:val="single"/>
        </w:rPr>
        <w:t>招标工程量清单</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lang w:val="en-US" w:eastAsia="zh-CN"/>
        </w:rPr>
        <w:t>招标控制价</w:t>
      </w:r>
      <w:r>
        <w:rPr>
          <w:rFonts w:hint="eastAsia" w:ascii="宋体" w:hAnsi="宋体" w:eastAsia="宋体" w:cs="宋体"/>
          <w:color w:val="auto"/>
          <w:spacing w:val="0"/>
          <w:sz w:val="24"/>
          <w:szCs w:val="24"/>
          <w:highlight w:val="none"/>
        </w:rPr>
        <w:t>：</w:t>
      </w:r>
    </w:p>
    <w:p w14:paraId="4F92B058">
      <w:pPr>
        <w:keepNext w:val="0"/>
        <w:keepLines w:val="0"/>
        <w:pageBreakBefore w:val="0"/>
        <w:widowControl/>
        <w:kinsoku/>
        <w:wordWrap w:val="0"/>
        <w:overflowPunct/>
        <w:topLinePunct/>
        <w:autoSpaceDE w:val="0"/>
        <w:autoSpaceDN w:val="0"/>
        <w:bidi w:val="0"/>
        <w:adjustRightInd w:val="0"/>
        <w:snapToGrid w:val="0"/>
        <w:spacing w:line="360" w:lineRule="auto"/>
        <w:ind w:left="49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w:t>
      </w:r>
      <w:r>
        <w:rPr>
          <w:rFonts w:hint="eastAsia" w:ascii="宋体" w:hAnsi="宋体" w:eastAsia="宋体" w:cs="宋体"/>
          <w:color w:val="auto"/>
          <w:spacing w:val="0"/>
          <w:sz w:val="24"/>
          <w:szCs w:val="24"/>
          <w:highlight w:val="none"/>
          <w:lang w:val="en-US" w:eastAsia="zh-CN"/>
        </w:rPr>
        <w:t>规范</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685C8AE8">
      <w:pPr>
        <w:keepNext w:val="0"/>
        <w:keepLines w:val="0"/>
        <w:pageBreakBefore w:val="0"/>
        <w:widowControl/>
        <w:kinsoku/>
        <w:wordWrap w:val="0"/>
        <w:overflowPunct/>
        <w:topLinePunct/>
        <w:autoSpaceDE w:val="0"/>
        <w:autoSpaceDN w:val="0"/>
        <w:bidi w:val="0"/>
        <w:adjustRightInd w:val="0"/>
        <w:snapToGrid w:val="0"/>
        <w:spacing w:line="360" w:lineRule="auto"/>
        <w:ind w:firstLine="49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 ”规定提交的要求招标人澄清的其他问题一起提交给招标人，招标人将根据实际情况决定是否颁发</w:t>
      </w:r>
      <w:r>
        <w:rPr>
          <w:rFonts w:hint="eastAsia" w:ascii="宋体" w:hAnsi="宋体" w:eastAsia="宋体" w:cs="宋体"/>
          <w:color w:val="auto"/>
          <w:spacing w:val="0"/>
          <w:sz w:val="24"/>
          <w:szCs w:val="24"/>
          <w:highlight w:val="none"/>
          <w:u w:val="single"/>
        </w:rPr>
        <w:t>工程量清单、</w:t>
      </w:r>
      <w:r>
        <w:rPr>
          <w:rFonts w:hint="eastAsia" w:ascii="宋体" w:hAnsi="宋体" w:eastAsia="宋体" w:cs="宋体"/>
          <w:color w:val="auto"/>
          <w:spacing w:val="0"/>
          <w:sz w:val="24"/>
          <w:szCs w:val="24"/>
          <w:highlight w:val="none"/>
          <w:u w:val="single"/>
          <w:lang w:val="en-US" w:eastAsia="zh-CN"/>
        </w:rPr>
        <w:t>招标控制价</w:t>
      </w:r>
      <w:r>
        <w:rPr>
          <w:rFonts w:hint="eastAsia" w:ascii="宋体" w:hAnsi="宋体" w:eastAsia="宋体" w:cs="宋体"/>
          <w:color w:val="auto"/>
          <w:spacing w:val="0"/>
          <w:sz w:val="24"/>
          <w:szCs w:val="24"/>
          <w:highlight w:val="none"/>
        </w:rPr>
        <w:t>的补充和(或)修改文件。</w:t>
      </w:r>
    </w:p>
    <w:p w14:paraId="216C8BF2">
      <w:pPr>
        <w:keepNext w:val="0"/>
        <w:keepLines w:val="0"/>
        <w:pageBreakBefore w:val="0"/>
        <w:widowControl/>
        <w:kinsoku/>
        <w:wordWrap w:val="0"/>
        <w:overflowPunct/>
        <w:topLinePunct/>
        <w:autoSpaceDE w:val="0"/>
        <w:autoSpaceDN w:val="0"/>
        <w:bidi w:val="0"/>
        <w:adjustRightInd w:val="0"/>
        <w:snapToGrid w:val="0"/>
        <w:spacing w:line="360" w:lineRule="auto"/>
        <w:ind w:left="2" w:right="2"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（3）本招标工程量清单措施项目中的</w:t>
      </w:r>
      <w:r>
        <w:rPr>
          <w:rFonts w:hint="eastAsia" w:ascii="宋体" w:hAnsi="宋体" w:eastAsia="宋体" w:cs="宋体"/>
          <w:b w:val="0"/>
          <w:bCs w:val="0"/>
          <w:color w:val="auto"/>
          <w:spacing w:val="0"/>
          <w:sz w:val="24"/>
          <w:szCs w:val="24"/>
          <w:highlight w:val="none"/>
          <w:u w:val="single"/>
          <w:lang w:val="en-US" w:eastAsia="zh-CN"/>
        </w:rPr>
        <w:t>安全生产</w:t>
      </w:r>
      <w:r>
        <w:rPr>
          <w:rFonts w:hint="eastAsia" w:ascii="宋体" w:hAnsi="宋体" w:eastAsia="宋体" w:cs="宋体"/>
          <w:b w:val="0"/>
          <w:bCs w:val="0"/>
          <w:color w:val="auto"/>
          <w:spacing w:val="0"/>
          <w:sz w:val="24"/>
          <w:szCs w:val="24"/>
          <w:highlight w:val="none"/>
          <w:u w:val="single"/>
        </w:rPr>
        <w:t>措施费、暂列金额</w:t>
      </w:r>
      <w:r>
        <w:rPr>
          <w:rFonts w:hint="eastAsia" w:ascii="宋体" w:hAnsi="宋体" w:eastAsia="宋体" w:cs="宋体"/>
          <w:color w:val="auto"/>
          <w:spacing w:val="0"/>
          <w:sz w:val="24"/>
          <w:szCs w:val="24"/>
          <w:highlight w:val="none"/>
        </w:rPr>
        <w:t>不得作为竞争性费用，投标报价必须按本招标工程量清单规定的金额填报。</w:t>
      </w:r>
    </w:p>
    <w:p w14:paraId="5D85CB68">
      <w:pPr>
        <w:keepNext w:val="0"/>
        <w:keepLines w:val="0"/>
        <w:pageBreakBefore w:val="0"/>
        <w:widowControl/>
        <w:kinsoku/>
        <w:wordWrap w:val="0"/>
        <w:overflowPunct/>
        <w:topLinePunct/>
        <w:autoSpaceDE w:val="0"/>
        <w:autoSpaceDN w:val="0"/>
        <w:bidi w:val="0"/>
        <w:adjustRightInd w:val="0"/>
        <w:snapToGrid w:val="0"/>
        <w:spacing w:line="360" w:lineRule="auto"/>
        <w:ind w:left="7" w:right="4" w:firstLine="48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（4）投标报价使用的表格格式须按照《</w:t>
      </w:r>
      <w:r>
        <w:rPr>
          <w:rFonts w:hint="eastAsia" w:ascii="宋体" w:hAnsi="宋体" w:eastAsia="宋体" w:cs="宋体"/>
          <w:color w:val="auto"/>
          <w:spacing w:val="0"/>
          <w:sz w:val="24"/>
          <w:szCs w:val="24"/>
          <w:highlight w:val="none"/>
          <w:lang w:eastAsia="zh-CN"/>
        </w:rPr>
        <w:t>建设工程工程量清单计价</w:t>
      </w:r>
      <w:r>
        <w:rPr>
          <w:rFonts w:hint="eastAsia" w:ascii="宋体" w:hAnsi="宋体" w:eastAsia="宋体" w:cs="宋体"/>
          <w:color w:val="auto"/>
          <w:spacing w:val="0"/>
          <w:sz w:val="24"/>
          <w:szCs w:val="24"/>
          <w:highlight w:val="none"/>
          <w:lang w:val="en-US" w:eastAsia="zh-CN"/>
        </w:rPr>
        <w:t>规范</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5702D72F">
      <w:pPr>
        <w:keepNext w:val="0"/>
        <w:keepLines w:val="0"/>
        <w:pageBreakBefore w:val="0"/>
        <w:widowControl/>
        <w:kinsoku/>
        <w:wordWrap w:val="0"/>
        <w:overflowPunct/>
        <w:topLinePunct/>
        <w:autoSpaceDE w:val="0"/>
        <w:autoSpaceDN w:val="0"/>
        <w:bidi w:val="0"/>
        <w:adjustRightInd w:val="0"/>
        <w:snapToGrid w:val="0"/>
        <w:spacing w:line="360" w:lineRule="auto"/>
        <w:ind w:left="7" w:right="4" w:firstLine="483"/>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5</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《房屋建筑与装饰工程工程量计算规范》（GB/T50854-2024）</w:t>
      </w:r>
      <w:r>
        <w:rPr>
          <w:rFonts w:hint="eastAsia" w:ascii="宋体" w:hAnsi="宋体" w:eastAsia="宋体" w:cs="宋体"/>
          <w:color w:val="auto"/>
          <w:spacing w:val="0"/>
          <w:sz w:val="24"/>
          <w:szCs w:val="24"/>
          <w:highlight w:val="none"/>
          <w:lang w:eastAsia="zh-CN"/>
        </w:rPr>
        <w:t>；</w:t>
      </w:r>
    </w:p>
    <w:p w14:paraId="440DDFD6">
      <w:pPr>
        <w:keepNext w:val="0"/>
        <w:keepLines w:val="0"/>
        <w:pageBreakBefore w:val="0"/>
        <w:widowControl/>
        <w:kinsoku/>
        <w:wordWrap w:val="0"/>
        <w:overflowPunct/>
        <w:topLinePunct/>
        <w:autoSpaceDE w:val="0"/>
        <w:autoSpaceDN w:val="0"/>
        <w:bidi w:val="0"/>
        <w:adjustRightInd w:val="0"/>
        <w:snapToGrid w:val="0"/>
        <w:spacing w:line="360" w:lineRule="auto"/>
        <w:ind w:left="7" w:right="4" w:firstLine="483"/>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《通用安装工程工程量清单计价规范》（GB/T50856-2024）</w:t>
      </w:r>
      <w:r>
        <w:rPr>
          <w:rFonts w:hint="eastAsia" w:ascii="宋体" w:hAnsi="宋体" w:eastAsia="宋体" w:cs="宋体"/>
          <w:color w:val="auto"/>
          <w:spacing w:val="0"/>
          <w:sz w:val="24"/>
          <w:szCs w:val="24"/>
          <w:highlight w:val="none"/>
          <w:lang w:eastAsia="zh-CN"/>
        </w:rPr>
        <w:t>；</w:t>
      </w:r>
    </w:p>
    <w:p w14:paraId="109F4491">
      <w:pPr>
        <w:keepNext w:val="0"/>
        <w:keepLines w:val="0"/>
        <w:pageBreakBefore w:val="0"/>
        <w:widowControl/>
        <w:kinsoku/>
        <w:wordWrap w:val="0"/>
        <w:overflowPunct/>
        <w:topLinePunct/>
        <w:autoSpaceDE w:val="0"/>
        <w:autoSpaceDN w:val="0"/>
        <w:bidi w:val="0"/>
        <w:adjustRightInd w:val="0"/>
        <w:snapToGrid w:val="0"/>
        <w:spacing w:line="360" w:lineRule="auto"/>
        <w:ind w:left="7" w:right="4" w:firstLine="483"/>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7</w:t>
      </w:r>
      <w:r>
        <w:rPr>
          <w:rFonts w:hint="eastAsia" w:ascii="宋体" w:hAnsi="宋体" w:eastAsia="宋体" w:cs="宋体"/>
          <w:color w:val="auto"/>
          <w:spacing w:val="0"/>
          <w:sz w:val="24"/>
          <w:szCs w:val="24"/>
          <w:highlight w:val="none"/>
          <w:lang w:eastAsia="zh-CN"/>
        </w:rPr>
        <w:t>）《市政工程工程量计算规范》(GB/T50857-2024）；</w:t>
      </w:r>
    </w:p>
    <w:p w14:paraId="107D0EE8">
      <w:pPr>
        <w:keepNext w:val="0"/>
        <w:keepLines w:val="0"/>
        <w:pageBreakBefore w:val="0"/>
        <w:widowControl/>
        <w:kinsoku/>
        <w:wordWrap w:val="0"/>
        <w:overflowPunct/>
        <w:topLinePunct/>
        <w:autoSpaceDE w:val="0"/>
        <w:autoSpaceDN w:val="0"/>
        <w:bidi w:val="0"/>
        <w:adjustRightInd w:val="0"/>
        <w:snapToGrid w:val="0"/>
        <w:spacing w:line="360" w:lineRule="auto"/>
        <w:ind w:right="4" w:firstLine="49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广东省建设工程计价依据（2018）》和《关于调整〈广东省建设工程计价依据2018〉计价规则的通知》（粤标定函〔2025〕22号）。具体包括：《广东省房屋建筑与装饰工程综合定额（2018）》《广东省市政工程综合定额（2018）》《广东省通用安装工程综合定额（2018）》等；</w:t>
      </w:r>
    </w:p>
    <w:p w14:paraId="2579C28E">
      <w:pPr>
        <w:keepNext w:val="0"/>
        <w:keepLines w:val="0"/>
        <w:pageBreakBefore w:val="0"/>
        <w:widowControl/>
        <w:kinsoku/>
        <w:wordWrap w:val="0"/>
        <w:overflowPunct/>
        <w:topLinePunct/>
        <w:autoSpaceDE w:val="0"/>
        <w:autoSpaceDN w:val="0"/>
        <w:bidi w:val="0"/>
        <w:adjustRightInd w:val="0"/>
        <w:snapToGrid w:val="0"/>
        <w:spacing w:line="360" w:lineRule="auto"/>
        <w:ind w:left="49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（9</w:t>
      </w:r>
      <w:r>
        <w:rPr>
          <w:rFonts w:hint="eastAsia" w:ascii="宋体" w:hAnsi="宋体" w:eastAsia="宋体" w:cs="宋体"/>
          <w:color w:val="auto"/>
          <w:spacing w:val="0"/>
          <w:sz w:val="24"/>
          <w:szCs w:val="24"/>
          <w:highlight w:val="none"/>
        </w:rPr>
        <w:t>）施工图及相关资料；</w:t>
      </w:r>
    </w:p>
    <w:p w14:paraId="2780146A">
      <w:pPr>
        <w:keepNext w:val="0"/>
        <w:keepLines w:val="0"/>
        <w:pageBreakBefore w:val="0"/>
        <w:widowControl/>
        <w:kinsoku/>
        <w:wordWrap w:val="0"/>
        <w:overflowPunct/>
        <w:topLinePunct/>
        <w:autoSpaceDE w:val="0"/>
        <w:autoSpaceDN w:val="0"/>
        <w:bidi w:val="0"/>
        <w:adjustRightInd w:val="0"/>
        <w:snapToGrid w:val="0"/>
        <w:spacing w:line="360" w:lineRule="auto"/>
        <w:ind w:left="49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10</w:t>
      </w:r>
      <w:r>
        <w:rPr>
          <w:rFonts w:hint="eastAsia" w:ascii="宋体" w:hAnsi="宋体" w:eastAsia="宋体" w:cs="宋体"/>
          <w:color w:val="auto"/>
          <w:spacing w:val="0"/>
          <w:sz w:val="24"/>
          <w:szCs w:val="24"/>
          <w:highlight w:val="none"/>
        </w:rPr>
        <w:t>）招标文件；</w:t>
      </w:r>
    </w:p>
    <w:p w14:paraId="173B39CC">
      <w:pPr>
        <w:keepNext w:val="0"/>
        <w:keepLines w:val="0"/>
        <w:pageBreakBefore w:val="0"/>
        <w:widowControl/>
        <w:kinsoku/>
        <w:wordWrap w:val="0"/>
        <w:overflowPunct/>
        <w:topLinePunct/>
        <w:autoSpaceDE w:val="0"/>
        <w:autoSpaceDN w:val="0"/>
        <w:bidi w:val="0"/>
        <w:adjustRightInd w:val="0"/>
        <w:snapToGrid w:val="0"/>
        <w:spacing w:line="360" w:lineRule="auto"/>
        <w:ind w:left="49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11</w:t>
      </w:r>
      <w:r>
        <w:rPr>
          <w:rFonts w:hint="eastAsia" w:ascii="宋体" w:hAnsi="宋体" w:eastAsia="宋体" w:cs="宋体"/>
          <w:color w:val="auto"/>
          <w:spacing w:val="0"/>
          <w:sz w:val="24"/>
          <w:szCs w:val="24"/>
          <w:highlight w:val="none"/>
        </w:rPr>
        <w:t>）施工现场情况、地勘水文资料、工程特点及常规施工方案；</w:t>
      </w:r>
    </w:p>
    <w:p w14:paraId="5D52EFEB">
      <w:pPr>
        <w:keepNext w:val="0"/>
        <w:keepLines w:val="0"/>
        <w:pageBreakBefore w:val="0"/>
        <w:widowControl/>
        <w:kinsoku/>
        <w:wordWrap w:val="0"/>
        <w:overflowPunct/>
        <w:topLinePunct/>
        <w:autoSpaceDE w:val="0"/>
        <w:autoSpaceDN w:val="0"/>
        <w:bidi w:val="0"/>
        <w:adjustRightInd w:val="0"/>
        <w:snapToGrid w:val="0"/>
        <w:spacing w:line="360" w:lineRule="auto"/>
        <w:ind w:left="493"/>
        <w:textAlignment w:val="baseline"/>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12</w:t>
      </w:r>
      <w:r>
        <w:rPr>
          <w:rFonts w:hint="eastAsia" w:ascii="宋体" w:hAnsi="宋体" w:eastAsia="宋体" w:cs="宋体"/>
          <w:color w:val="auto"/>
          <w:spacing w:val="0"/>
          <w:sz w:val="24"/>
          <w:szCs w:val="24"/>
          <w:highlight w:val="none"/>
        </w:rPr>
        <w:t>）与建设工程有关的标准、规范、技术资料、材料设备信息价或市场价格等。</w:t>
      </w:r>
    </w:p>
    <w:p w14:paraId="0F35F770">
      <w:pPr>
        <w:keepNext w:val="0"/>
        <w:keepLines w:val="0"/>
        <w:pageBreakBefore w:val="0"/>
        <w:kinsoku/>
        <w:wordWrap w:val="0"/>
        <w:overflowPunct/>
        <w:topLinePunct/>
        <w:bidi w:val="0"/>
        <w:spacing w:line="219" w:lineRule="auto"/>
        <w:rPr>
          <w:rFonts w:hint="eastAsia" w:ascii="宋体" w:hAnsi="宋体" w:eastAsia="宋体" w:cs="宋体"/>
          <w:color w:val="auto"/>
          <w:spacing w:val="0"/>
          <w:sz w:val="24"/>
          <w:szCs w:val="24"/>
          <w:highlight w:val="none"/>
        </w:rPr>
        <w:sectPr>
          <w:footerReference r:id="rId11"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702DEC7E">
      <w:pPr>
        <w:keepNext w:val="0"/>
        <w:keepLines w:val="0"/>
        <w:pageBreakBefore w:val="0"/>
        <w:kinsoku/>
        <w:wordWrap w:val="0"/>
        <w:overflowPunct/>
        <w:topLinePunct/>
        <w:bidi w:val="0"/>
        <w:spacing w:before="78" w:line="219" w:lineRule="auto"/>
        <w:ind w:left="3357"/>
        <w:outlineLvl w:val="0"/>
        <w:rPr>
          <w:rFonts w:hint="eastAsia" w:ascii="宋体" w:hAnsi="宋体" w:eastAsia="宋体" w:cs="宋体"/>
          <w:color w:val="auto"/>
          <w:spacing w:val="0"/>
          <w:sz w:val="28"/>
          <w:szCs w:val="28"/>
          <w:highlight w:val="none"/>
        </w:rPr>
      </w:pPr>
      <w:bookmarkStart w:id="177" w:name="_Toc6190"/>
      <w:r>
        <w:rPr>
          <w:rFonts w:hint="eastAsia" w:ascii="宋体" w:hAnsi="宋体" w:eastAsia="宋体" w:cs="宋体"/>
          <w:b/>
          <w:bCs/>
          <w:color w:val="auto"/>
          <w:spacing w:val="0"/>
          <w:sz w:val="28"/>
          <w:szCs w:val="28"/>
          <w:highlight w:val="none"/>
        </w:rPr>
        <w:t>第六章</w:t>
      </w:r>
      <w:r>
        <w:rPr>
          <w:rFonts w:hint="eastAsia" w:ascii="宋体" w:hAnsi="宋体" w:eastAsia="宋体" w:cs="宋体"/>
          <w:color w:val="auto"/>
          <w:spacing w:val="0"/>
          <w:sz w:val="28"/>
          <w:szCs w:val="28"/>
          <w:highlight w:val="none"/>
        </w:rPr>
        <w:t xml:space="preserve"> </w:t>
      </w:r>
      <w:r>
        <w:rPr>
          <w:rFonts w:hint="eastAsia" w:ascii="宋体" w:hAnsi="宋体" w:eastAsia="宋体" w:cs="宋体"/>
          <w:b/>
          <w:bCs/>
          <w:color w:val="auto"/>
          <w:spacing w:val="0"/>
          <w:sz w:val="28"/>
          <w:szCs w:val="28"/>
          <w:highlight w:val="none"/>
        </w:rPr>
        <w:t>投标文件格式</w:t>
      </w:r>
      <w:bookmarkEnd w:id="177"/>
    </w:p>
    <w:p w14:paraId="1F78591E">
      <w:pPr>
        <w:pStyle w:val="6"/>
        <w:keepNext w:val="0"/>
        <w:keepLines w:val="0"/>
        <w:pageBreakBefore w:val="0"/>
        <w:kinsoku/>
        <w:wordWrap w:val="0"/>
        <w:overflowPunct/>
        <w:topLinePunct/>
        <w:bidi w:val="0"/>
        <w:spacing w:line="302" w:lineRule="auto"/>
        <w:jc w:val="right"/>
        <w:rPr>
          <w:rFonts w:hint="eastAsia" w:ascii="宋体" w:hAnsi="宋体" w:eastAsia="宋体" w:cs="宋体"/>
          <w:color w:val="auto"/>
          <w:spacing w:val="0"/>
          <w:highlight w:val="none"/>
        </w:rPr>
      </w:pPr>
    </w:p>
    <w:p w14:paraId="0974D191">
      <w:pPr>
        <w:keepNext w:val="0"/>
        <w:keepLines w:val="0"/>
        <w:pageBreakBefore w:val="0"/>
        <w:kinsoku/>
        <w:wordWrap w:val="0"/>
        <w:overflowPunct/>
        <w:topLinePunct/>
        <w:bidi w:val="0"/>
        <w:spacing w:before="78" w:line="220" w:lineRule="auto"/>
        <w:outlineLvl w:val="2"/>
        <w:rPr>
          <w:rFonts w:hint="eastAsia" w:ascii="宋体" w:hAnsi="宋体" w:eastAsia="宋体" w:cs="宋体"/>
          <w:color w:val="auto"/>
          <w:spacing w:val="0"/>
          <w:sz w:val="24"/>
          <w:szCs w:val="24"/>
          <w:highlight w:val="none"/>
        </w:rPr>
      </w:pPr>
      <w:bookmarkStart w:id="178" w:name="_Toc17523"/>
      <w:r>
        <w:rPr>
          <w:rFonts w:hint="eastAsia" w:ascii="宋体" w:hAnsi="宋体" w:eastAsia="宋体" w:cs="宋体"/>
          <w:b/>
          <w:bCs/>
          <w:color w:val="auto"/>
          <w:spacing w:val="0"/>
          <w:sz w:val="24"/>
          <w:szCs w:val="24"/>
          <w:highlight w:val="none"/>
        </w:rPr>
        <w:t>格式一</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封面</w:t>
      </w:r>
      <w:bookmarkEnd w:id="178"/>
    </w:p>
    <w:p w14:paraId="3CDA0046">
      <w:pPr>
        <w:pStyle w:val="6"/>
        <w:keepNext w:val="0"/>
        <w:keepLines w:val="0"/>
        <w:pageBreakBefore w:val="0"/>
        <w:kinsoku/>
        <w:wordWrap w:val="0"/>
        <w:overflowPunct/>
        <w:topLinePunct/>
        <w:bidi w:val="0"/>
        <w:spacing w:line="258" w:lineRule="auto"/>
        <w:rPr>
          <w:rFonts w:hint="eastAsia" w:ascii="宋体" w:hAnsi="宋体" w:eastAsia="宋体" w:cs="宋体"/>
          <w:color w:val="auto"/>
          <w:spacing w:val="0"/>
          <w:highlight w:val="none"/>
        </w:rPr>
      </w:pPr>
    </w:p>
    <w:p w14:paraId="08948314">
      <w:pPr>
        <w:pStyle w:val="6"/>
        <w:keepNext w:val="0"/>
        <w:keepLines w:val="0"/>
        <w:pageBreakBefore w:val="0"/>
        <w:kinsoku/>
        <w:wordWrap w:val="0"/>
        <w:overflowPunct/>
        <w:topLinePunct/>
        <w:bidi w:val="0"/>
        <w:spacing w:line="259" w:lineRule="auto"/>
        <w:rPr>
          <w:rFonts w:hint="eastAsia" w:ascii="宋体" w:hAnsi="宋体" w:eastAsia="宋体" w:cs="宋体"/>
          <w:color w:val="auto"/>
          <w:spacing w:val="0"/>
          <w:highlight w:val="none"/>
        </w:rPr>
      </w:pPr>
    </w:p>
    <w:p w14:paraId="07C28CE3">
      <w:pPr>
        <w:pStyle w:val="6"/>
        <w:keepNext w:val="0"/>
        <w:keepLines w:val="0"/>
        <w:pageBreakBefore w:val="0"/>
        <w:kinsoku/>
        <w:wordWrap w:val="0"/>
        <w:overflowPunct/>
        <w:topLinePunct/>
        <w:bidi w:val="0"/>
        <w:spacing w:line="259" w:lineRule="auto"/>
        <w:rPr>
          <w:rFonts w:hint="eastAsia" w:ascii="宋体" w:hAnsi="宋体" w:eastAsia="宋体" w:cs="宋体"/>
          <w:color w:val="auto"/>
          <w:spacing w:val="0"/>
          <w:highlight w:val="none"/>
        </w:rPr>
      </w:pPr>
    </w:p>
    <w:p w14:paraId="51DDD8E6">
      <w:pPr>
        <w:keepNext w:val="0"/>
        <w:keepLines w:val="0"/>
        <w:pageBreakBefore w:val="0"/>
        <w:kinsoku/>
        <w:wordWrap w:val="0"/>
        <w:overflowPunct/>
        <w:topLinePunct/>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22288596">
      <w:pPr>
        <w:pStyle w:val="6"/>
        <w:keepNext w:val="0"/>
        <w:keepLines w:val="0"/>
        <w:pageBreakBefore w:val="0"/>
        <w:kinsoku/>
        <w:wordWrap w:val="0"/>
        <w:overflowPunct/>
        <w:topLinePunct/>
        <w:bidi w:val="0"/>
        <w:spacing w:line="247" w:lineRule="auto"/>
        <w:rPr>
          <w:rFonts w:hint="eastAsia" w:ascii="宋体" w:hAnsi="宋体" w:eastAsia="宋体" w:cs="宋体"/>
          <w:color w:val="auto"/>
          <w:spacing w:val="0"/>
          <w:highlight w:val="none"/>
        </w:rPr>
      </w:pPr>
    </w:p>
    <w:p w14:paraId="5A85C59B">
      <w:pPr>
        <w:pStyle w:val="6"/>
        <w:keepNext w:val="0"/>
        <w:keepLines w:val="0"/>
        <w:pageBreakBefore w:val="0"/>
        <w:kinsoku/>
        <w:wordWrap w:val="0"/>
        <w:overflowPunct/>
        <w:topLinePunct/>
        <w:bidi w:val="0"/>
        <w:spacing w:line="247" w:lineRule="auto"/>
        <w:rPr>
          <w:rFonts w:hint="eastAsia" w:ascii="宋体" w:hAnsi="宋体" w:eastAsia="宋体" w:cs="宋体"/>
          <w:color w:val="auto"/>
          <w:spacing w:val="0"/>
          <w:highlight w:val="none"/>
        </w:rPr>
      </w:pPr>
    </w:p>
    <w:p w14:paraId="12155858">
      <w:pPr>
        <w:pStyle w:val="6"/>
        <w:keepNext w:val="0"/>
        <w:keepLines w:val="0"/>
        <w:pageBreakBefore w:val="0"/>
        <w:kinsoku/>
        <w:wordWrap w:val="0"/>
        <w:overflowPunct/>
        <w:topLinePunct/>
        <w:bidi w:val="0"/>
        <w:spacing w:line="247" w:lineRule="auto"/>
        <w:rPr>
          <w:rFonts w:hint="eastAsia" w:ascii="宋体" w:hAnsi="宋体" w:eastAsia="宋体" w:cs="宋体"/>
          <w:color w:val="auto"/>
          <w:spacing w:val="0"/>
          <w:highlight w:val="none"/>
        </w:rPr>
      </w:pPr>
    </w:p>
    <w:p w14:paraId="1AC629BB">
      <w:pPr>
        <w:pStyle w:val="6"/>
        <w:keepNext w:val="0"/>
        <w:keepLines w:val="0"/>
        <w:pageBreakBefore w:val="0"/>
        <w:kinsoku/>
        <w:wordWrap w:val="0"/>
        <w:overflowPunct/>
        <w:topLinePunct/>
        <w:bidi w:val="0"/>
        <w:spacing w:line="247" w:lineRule="auto"/>
        <w:rPr>
          <w:rFonts w:hint="eastAsia" w:ascii="宋体" w:hAnsi="宋体" w:eastAsia="宋体" w:cs="宋体"/>
          <w:color w:val="auto"/>
          <w:spacing w:val="0"/>
          <w:highlight w:val="none"/>
        </w:rPr>
      </w:pPr>
    </w:p>
    <w:p w14:paraId="2C0F41E1">
      <w:pPr>
        <w:pStyle w:val="6"/>
        <w:keepNext w:val="0"/>
        <w:keepLines w:val="0"/>
        <w:pageBreakBefore w:val="0"/>
        <w:kinsoku/>
        <w:wordWrap w:val="0"/>
        <w:overflowPunct/>
        <w:topLinePunct/>
        <w:bidi w:val="0"/>
        <w:spacing w:line="248" w:lineRule="auto"/>
        <w:rPr>
          <w:rFonts w:hint="eastAsia" w:ascii="宋体" w:hAnsi="宋体" w:eastAsia="宋体" w:cs="宋体"/>
          <w:color w:val="auto"/>
          <w:spacing w:val="0"/>
          <w:highlight w:val="none"/>
        </w:rPr>
      </w:pPr>
    </w:p>
    <w:p w14:paraId="298EB70B">
      <w:pPr>
        <w:keepNext w:val="0"/>
        <w:keepLines w:val="0"/>
        <w:pageBreakBefore w:val="0"/>
        <w:kinsoku/>
        <w:wordWrap w:val="0"/>
        <w:overflowPunct/>
        <w:topLinePunct/>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rPr>
        <w:t>投</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12D7CE74">
      <w:pPr>
        <w:pStyle w:val="6"/>
        <w:keepNext w:val="0"/>
        <w:keepLines w:val="0"/>
        <w:pageBreakBefore w:val="0"/>
        <w:kinsoku/>
        <w:wordWrap w:val="0"/>
        <w:overflowPunct/>
        <w:topLinePunct/>
        <w:bidi w:val="0"/>
        <w:spacing w:line="293" w:lineRule="auto"/>
        <w:rPr>
          <w:rFonts w:hint="eastAsia" w:ascii="宋体" w:hAnsi="宋体" w:eastAsia="宋体" w:cs="宋体"/>
          <w:color w:val="auto"/>
          <w:spacing w:val="0"/>
          <w:highlight w:val="none"/>
        </w:rPr>
      </w:pPr>
    </w:p>
    <w:p w14:paraId="63C213E7">
      <w:pPr>
        <w:pStyle w:val="6"/>
        <w:keepNext w:val="0"/>
        <w:keepLines w:val="0"/>
        <w:pageBreakBefore w:val="0"/>
        <w:kinsoku/>
        <w:wordWrap w:val="0"/>
        <w:overflowPunct/>
        <w:topLinePunct/>
        <w:bidi w:val="0"/>
        <w:spacing w:line="293" w:lineRule="auto"/>
        <w:rPr>
          <w:rFonts w:hint="eastAsia" w:ascii="宋体" w:hAnsi="宋体" w:eastAsia="宋体" w:cs="宋体"/>
          <w:color w:val="auto"/>
          <w:spacing w:val="0"/>
          <w:highlight w:val="none"/>
        </w:rPr>
      </w:pPr>
    </w:p>
    <w:p w14:paraId="7D6E430B">
      <w:pPr>
        <w:keepNext w:val="0"/>
        <w:keepLines w:val="0"/>
        <w:pageBreakBefore w:val="0"/>
        <w:kinsoku/>
        <w:wordWrap w:val="0"/>
        <w:overflowPunct/>
        <w:topLinePunct/>
        <w:bidi w:val="0"/>
        <w:spacing w:before="152" w:line="223" w:lineRule="auto"/>
        <w:jc w:val="center"/>
        <w:rPr>
          <w:rFonts w:hint="eastAsia" w:ascii="宋体" w:hAnsi="宋体" w:eastAsia="宋体" w:cs="宋体"/>
          <w:b/>
          <w:bCs/>
          <w:color w:val="auto"/>
          <w:spacing w:val="0"/>
          <w:sz w:val="47"/>
          <w:szCs w:val="47"/>
          <w:highlight w:val="none"/>
        </w:rPr>
      </w:pPr>
      <w:bookmarkStart w:id="179" w:name="bookmark105"/>
      <w:bookmarkEnd w:id="179"/>
      <w:r>
        <w:rPr>
          <w:rFonts w:hint="eastAsia" w:ascii="宋体" w:hAnsi="宋体" w:eastAsia="宋体" w:cs="宋体"/>
          <w:b/>
          <w:bCs/>
          <w:color w:val="auto"/>
          <w:spacing w:val="0"/>
          <w:sz w:val="47"/>
          <w:szCs w:val="47"/>
          <w:highlight w:val="none"/>
        </w:rPr>
        <w:t>（商务标书／经济标书／施工组织设计）</w:t>
      </w:r>
    </w:p>
    <w:p w14:paraId="55FDCDF8">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65A74A5A">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5E17699B">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660A0CB9">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441D4CBD">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680EC7B0">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07FA3726">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4ACB87FD">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43B85F8F">
      <w:pPr>
        <w:pStyle w:val="47"/>
        <w:keepNext w:val="0"/>
        <w:keepLines w:val="0"/>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10456F7B">
      <w:pPr>
        <w:pStyle w:val="47"/>
        <w:keepNext w:val="0"/>
        <w:keepLines w:val="0"/>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48BD1CCA">
      <w:pPr>
        <w:pStyle w:val="47"/>
        <w:keepNext w:val="0"/>
        <w:keepLines w:val="0"/>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47FA34A8">
      <w:pPr>
        <w:pStyle w:val="47"/>
        <w:keepNext w:val="0"/>
        <w:keepLines w:val="0"/>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3F8F15E7">
      <w:pPr>
        <w:pStyle w:val="47"/>
        <w:keepNext w:val="0"/>
        <w:keepLines w:val="0"/>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2257448A">
      <w:pPr>
        <w:pStyle w:val="47"/>
        <w:keepNext w:val="0"/>
        <w:keepLines w:val="0"/>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1F3724B8">
      <w:pPr>
        <w:pStyle w:val="47"/>
        <w:keepNext w:val="0"/>
        <w:keepLines w:val="0"/>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7230F3F6">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62247F64">
      <w:pPr>
        <w:keepNext w:val="0"/>
        <w:keepLines w:val="0"/>
        <w:pageBreakBefore w:val="0"/>
        <w:kinsoku/>
        <w:wordWrap w:val="0"/>
        <w:overflowPunct/>
        <w:topLinePunct/>
        <w:bidi w:val="0"/>
        <w:outlineLvl w:val="9"/>
        <w:rPr>
          <w:rFonts w:hint="eastAsia" w:ascii="宋体" w:hAnsi="宋体" w:eastAsia="宋体" w:cs="宋体"/>
          <w:color w:val="auto"/>
          <w:spacing w:val="0"/>
          <w:highlight w:val="none"/>
        </w:rPr>
      </w:pPr>
    </w:p>
    <w:p w14:paraId="617E5E54">
      <w:pPr>
        <w:keepNext w:val="0"/>
        <w:keepLines w:val="0"/>
        <w:pageBreakBefore w:val="0"/>
        <w:kinsoku/>
        <w:wordWrap w:val="0"/>
        <w:overflowPunct/>
        <w:topLinePunct/>
        <w:bidi w:val="0"/>
        <w:spacing w:line="223" w:lineRule="auto"/>
        <w:rPr>
          <w:rFonts w:hint="eastAsia" w:ascii="宋体" w:hAnsi="宋体" w:eastAsia="宋体" w:cs="宋体"/>
          <w:color w:val="auto"/>
          <w:spacing w:val="0"/>
          <w:sz w:val="47"/>
          <w:szCs w:val="47"/>
          <w:highlight w:val="none"/>
        </w:rPr>
        <w:sectPr>
          <w:footerReference r:id="rId12"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66E9A3F2">
      <w:pPr>
        <w:keepNext w:val="0"/>
        <w:keepLines w:val="0"/>
        <w:pageBreakBefore w:val="0"/>
        <w:kinsoku/>
        <w:wordWrap w:val="0"/>
        <w:overflowPunct/>
        <w:topLinePunct/>
        <w:bidi w:val="0"/>
        <w:spacing w:before="78" w:line="220" w:lineRule="auto"/>
        <w:outlineLvl w:val="2"/>
        <w:rPr>
          <w:rFonts w:hint="eastAsia" w:ascii="宋体" w:hAnsi="宋体" w:eastAsia="宋体" w:cs="宋体"/>
          <w:b/>
          <w:bCs/>
          <w:color w:val="auto"/>
          <w:spacing w:val="0"/>
          <w:sz w:val="24"/>
          <w:szCs w:val="24"/>
          <w:highlight w:val="none"/>
        </w:rPr>
      </w:pPr>
      <w:bookmarkStart w:id="180" w:name="_Toc30824"/>
      <w:r>
        <w:rPr>
          <w:rFonts w:hint="eastAsia" w:ascii="宋体" w:hAnsi="宋体" w:eastAsia="宋体" w:cs="宋体"/>
          <w:b/>
          <w:bCs/>
          <w:color w:val="auto"/>
          <w:spacing w:val="0"/>
          <w:sz w:val="24"/>
          <w:szCs w:val="24"/>
          <w:highlight w:val="none"/>
        </w:rPr>
        <w:t>格式二 投标函</w:t>
      </w:r>
      <w:bookmarkEnd w:id="180"/>
    </w:p>
    <w:p w14:paraId="705DFA46">
      <w:pPr>
        <w:pStyle w:val="6"/>
        <w:keepNext w:val="0"/>
        <w:keepLines w:val="0"/>
        <w:pageBreakBefore w:val="0"/>
        <w:kinsoku/>
        <w:wordWrap w:val="0"/>
        <w:overflowPunct/>
        <w:topLinePunct/>
        <w:bidi w:val="0"/>
        <w:spacing w:line="261" w:lineRule="auto"/>
        <w:rPr>
          <w:rFonts w:hint="eastAsia" w:ascii="宋体" w:hAnsi="宋体" w:eastAsia="宋体" w:cs="宋体"/>
          <w:color w:val="auto"/>
          <w:spacing w:val="0"/>
          <w:highlight w:val="none"/>
        </w:rPr>
      </w:pPr>
    </w:p>
    <w:p w14:paraId="5381D384">
      <w:pPr>
        <w:keepNext w:val="0"/>
        <w:keepLines w:val="0"/>
        <w:pageBreakBefore w:val="0"/>
        <w:kinsoku/>
        <w:wordWrap w:val="0"/>
        <w:overflowPunct/>
        <w:topLinePunct/>
        <w:bidi w:val="0"/>
        <w:spacing w:before="97" w:line="221" w:lineRule="auto"/>
        <w:ind w:left="3799"/>
        <w:outlineLvl w:val="9"/>
        <w:rPr>
          <w:rFonts w:hint="eastAsia" w:ascii="宋体" w:hAnsi="宋体" w:eastAsia="宋体" w:cs="宋体"/>
          <w:color w:val="auto"/>
          <w:spacing w:val="0"/>
          <w:sz w:val="30"/>
          <w:szCs w:val="30"/>
          <w:highlight w:val="none"/>
        </w:rPr>
      </w:pPr>
      <w:bookmarkStart w:id="181" w:name="bookmark148"/>
      <w:bookmarkEnd w:id="181"/>
      <w:bookmarkStart w:id="182" w:name="_Toc27397"/>
      <w:bookmarkStart w:id="183" w:name="_Toc317"/>
      <w:bookmarkStart w:id="184" w:name="_Toc297"/>
      <w:r>
        <w:rPr>
          <w:rFonts w:hint="eastAsia" w:ascii="宋体" w:hAnsi="宋体" w:eastAsia="宋体" w:cs="宋体"/>
          <w:b/>
          <w:bCs/>
          <w:color w:val="auto"/>
          <w:spacing w:val="0"/>
          <w:sz w:val="30"/>
          <w:szCs w:val="30"/>
          <w:highlight w:val="none"/>
        </w:rPr>
        <w:t>投</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标</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函</w:t>
      </w:r>
      <w:bookmarkEnd w:id="182"/>
      <w:bookmarkEnd w:id="183"/>
      <w:bookmarkEnd w:id="184"/>
    </w:p>
    <w:p w14:paraId="003DF504">
      <w:pPr>
        <w:pStyle w:val="6"/>
        <w:keepNext w:val="0"/>
        <w:keepLines w:val="0"/>
        <w:pageBreakBefore w:val="0"/>
        <w:kinsoku/>
        <w:wordWrap w:val="0"/>
        <w:overflowPunct/>
        <w:topLinePunct/>
        <w:bidi w:val="0"/>
        <w:spacing w:line="249" w:lineRule="auto"/>
        <w:rPr>
          <w:rFonts w:hint="eastAsia" w:ascii="宋体" w:hAnsi="宋体" w:eastAsia="宋体" w:cs="宋体"/>
          <w:color w:val="auto"/>
          <w:spacing w:val="0"/>
          <w:highlight w:val="none"/>
        </w:rPr>
      </w:pPr>
    </w:p>
    <w:p w14:paraId="617E24D1">
      <w:pPr>
        <w:pStyle w:val="6"/>
        <w:keepNext w:val="0"/>
        <w:keepLines w:val="0"/>
        <w:pageBreakBefore w:val="0"/>
        <w:kinsoku/>
        <w:wordWrap w:val="0"/>
        <w:overflowPunct/>
        <w:topLinePunct/>
        <w:bidi w:val="0"/>
        <w:spacing w:line="250" w:lineRule="auto"/>
        <w:rPr>
          <w:rFonts w:hint="eastAsia" w:ascii="宋体" w:hAnsi="宋体" w:eastAsia="宋体" w:cs="宋体"/>
          <w:color w:val="auto"/>
          <w:spacing w:val="0"/>
          <w:highlight w:val="none"/>
        </w:rPr>
      </w:pPr>
    </w:p>
    <w:p w14:paraId="39E58C01">
      <w:pPr>
        <w:pStyle w:val="6"/>
        <w:keepNext w:val="0"/>
        <w:keepLines w:val="0"/>
        <w:pageBreakBefore w:val="0"/>
        <w:kinsoku/>
        <w:wordWrap w:val="0"/>
        <w:overflowPunct/>
        <w:topLinePunct/>
        <w:bidi w:val="0"/>
        <w:spacing w:line="250" w:lineRule="auto"/>
        <w:rPr>
          <w:rFonts w:hint="eastAsia" w:ascii="宋体" w:hAnsi="宋体" w:eastAsia="宋体" w:cs="宋体"/>
          <w:color w:val="auto"/>
          <w:spacing w:val="0"/>
          <w:highlight w:val="none"/>
        </w:rPr>
      </w:pPr>
    </w:p>
    <w:p w14:paraId="0E23ADAC">
      <w:pPr>
        <w:keepNext w:val="0"/>
        <w:keepLines w:val="0"/>
        <w:pageBreakBefore w:val="0"/>
        <w:kinsoku/>
        <w:wordWrap w:val="0"/>
        <w:overflowPunct/>
        <w:topLinePunct/>
        <w:bidi w:val="0"/>
        <w:spacing w:before="78" w:line="221" w:lineRule="auto"/>
        <w:ind w:left="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4B7A9195">
      <w:pPr>
        <w:pStyle w:val="6"/>
        <w:keepNext w:val="0"/>
        <w:keepLines w:val="0"/>
        <w:pageBreakBefore w:val="0"/>
        <w:kinsoku/>
        <w:wordWrap w:val="0"/>
        <w:overflowPunct/>
        <w:topLinePunct/>
        <w:bidi w:val="0"/>
        <w:spacing w:before="156" w:line="328" w:lineRule="auto"/>
        <w:ind w:left="9" w:right="142" w:firstLine="58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我方考察现场并充分研究</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（项目名称）（以下简称“本项目”）施工招标文件所有内容后，结合自身资质、能力和特点，愿意接受招标文件的全部内容和条件，兹以人民币（大写）：</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)的投标总价竞投本项目施工。</w:t>
      </w:r>
    </w:p>
    <w:p w14:paraId="39A5C7B2">
      <w:pPr>
        <w:keepNext w:val="0"/>
        <w:keepLines w:val="0"/>
        <w:pageBreakBefore w:val="0"/>
        <w:kinsoku/>
        <w:wordWrap w:val="0"/>
        <w:overflowPunct/>
        <w:topLinePunct/>
        <w:bidi w:val="0"/>
        <w:spacing w:before="39" w:line="323" w:lineRule="auto"/>
        <w:ind w:right="142"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在我方的上述投标总价中，包括：</w:t>
      </w:r>
      <w:r>
        <w:rPr>
          <w:rFonts w:hint="eastAsia" w:ascii="宋体" w:hAnsi="宋体" w:eastAsia="宋体" w:cs="宋体"/>
          <w:b w:val="0"/>
          <w:bCs/>
          <w:i w:val="0"/>
          <w:iCs w:val="0"/>
          <w:caps w:val="0"/>
          <w:color w:val="auto"/>
          <w:spacing w:val="0"/>
          <w:sz w:val="24"/>
          <w:szCs w:val="24"/>
          <w:highlight w:val="none"/>
          <w:shd w:val="clear" w:color="auto" w:fill="FFFFFF"/>
          <w:lang w:val="en-US" w:eastAsia="zh-CN"/>
        </w:rPr>
        <w:t>安全施工</w:t>
      </w:r>
      <w:r>
        <w:rPr>
          <w:rFonts w:hint="eastAsia" w:ascii="宋体" w:hAnsi="宋体" w:eastAsia="宋体" w:cs="宋体"/>
          <w:b w:val="0"/>
          <w:bCs/>
          <w:i w:val="0"/>
          <w:iCs w:val="0"/>
          <w:caps w:val="0"/>
          <w:color w:val="auto"/>
          <w:spacing w:val="0"/>
          <w:sz w:val="24"/>
          <w:szCs w:val="24"/>
          <w:highlight w:val="none"/>
          <w:shd w:val="clear" w:color="auto" w:fill="FFFFFF"/>
          <w:lang w:eastAsia="zh-CN"/>
        </w:rPr>
        <w:t>措施费</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；暂列金额</w:t>
      </w:r>
      <w:r>
        <w:rPr>
          <w:rFonts w:hint="eastAsia" w:ascii="宋体" w:hAnsi="宋体" w:eastAsia="宋体" w:cs="宋体"/>
          <w:color w:val="auto"/>
          <w:spacing w:val="0"/>
          <w:sz w:val="24"/>
          <w:szCs w:val="24"/>
          <w:highlight w:val="none"/>
          <w:u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w:t>
      </w:r>
    </w:p>
    <w:p w14:paraId="6284F2AC">
      <w:pPr>
        <w:keepNext w:val="0"/>
        <w:keepLines w:val="0"/>
        <w:pageBreakBefore w:val="0"/>
        <w:kinsoku/>
        <w:wordWrap w:val="0"/>
        <w:overflowPunct/>
        <w:topLinePunct/>
        <w:bidi w:val="0"/>
        <w:spacing w:before="38" w:line="280" w:lineRule="auto"/>
        <w:ind w:left="13" w:right="142"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如果我方中标，我方保证按照合同约定的开工日期开始本项目的施工，</w:t>
      </w:r>
      <w:bookmarkStart w:id="185" w:name="OLE_LINK34"/>
      <w:r>
        <w:rPr>
          <w:rFonts w:hint="eastAsia" w:ascii="宋体" w:hAnsi="宋体" w:eastAsia="宋体" w:cs="宋体"/>
          <w:color w:val="auto"/>
          <w:spacing w:val="0"/>
          <w:sz w:val="24"/>
          <w:szCs w:val="24"/>
          <w:highlight w:val="none"/>
          <w:u w:val="single"/>
          <w:lang w:val="en-US" w:eastAsia="zh-CN"/>
        </w:rPr>
        <w:t xml:space="preserve">     </w:t>
      </w:r>
      <w:bookmarkEnd w:id="185"/>
      <w:r>
        <w:rPr>
          <w:rFonts w:hint="eastAsia" w:ascii="宋体" w:hAnsi="宋体" w:eastAsia="宋体" w:cs="宋体"/>
          <w:color w:val="auto"/>
          <w:spacing w:val="0"/>
          <w:sz w:val="24"/>
          <w:szCs w:val="24"/>
          <w:highlight w:val="none"/>
        </w:rPr>
        <w:t>个日历天内竣工，并确保工程质量达到</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标准和维修其中的任何缺陷。</w:t>
      </w:r>
    </w:p>
    <w:p w14:paraId="536090F2">
      <w:pPr>
        <w:keepNext w:val="0"/>
        <w:keepLines w:val="0"/>
        <w:pageBreakBefore w:val="0"/>
        <w:kinsoku/>
        <w:wordWrap w:val="0"/>
        <w:overflowPunct/>
        <w:topLinePunct/>
        <w:bidi w:val="0"/>
        <w:spacing w:before="152" w:line="279" w:lineRule="auto"/>
        <w:ind w:left="11" w:right="142" w:firstLine="5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本投标函在你方接收我方递交的投标文件之日起、到招标文件规定的投标有效期期满前对我方具有约束力。我方随时准备接受你方发出的中标通知书。</w:t>
      </w:r>
    </w:p>
    <w:p w14:paraId="676E337D">
      <w:pPr>
        <w:keepNext w:val="0"/>
        <w:keepLines w:val="0"/>
        <w:pageBreakBefore w:val="0"/>
        <w:kinsoku/>
        <w:wordWrap w:val="0"/>
        <w:overflowPunct/>
        <w:topLinePunct/>
        <w:bidi w:val="0"/>
        <w:spacing w:before="156" w:line="279" w:lineRule="auto"/>
        <w:ind w:left="11" w:right="61" w:firstLine="56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 ．我方在此声明，我方不存在本项目招标文件第一章第三节第 </w:t>
      </w:r>
      <w:r>
        <w:rPr>
          <w:rFonts w:hint="eastAsia" w:ascii="宋体" w:hAnsi="宋体" w:eastAsia="宋体" w:cs="宋体"/>
          <w:b/>
          <w:bCs/>
          <w:color w:val="auto"/>
          <w:spacing w:val="0"/>
          <w:sz w:val="24"/>
          <w:szCs w:val="24"/>
          <w:highlight w:val="none"/>
        </w:rPr>
        <w:t>2.4</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条“禁止投标条款”所列出的任何一种情形，并愿意承担因我方就此弄虚作假所引起的一切法律后果。</w:t>
      </w:r>
    </w:p>
    <w:p w14:paraId="2AECA73C">
      <w:pPr>
        <w:keepNext w:val="0"/>
        <w:keepLines w:val="0"/>
        <w:pageBreakBefore w:val="0"/>
        <w:kinsoku/>
        <w:wordWrap w:val="0"/>
        <w:overflowPunct/>
        <w:topLinePunct/>
        <w:bidi w:val="0"/>
        <w:spacing w:before="153" w:line="280" w:lineRule="auto"/>
        <w:ind w:left="9" w:right="142" w:firstLine="57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．我方在此承诺，所递交投标文件的全部内容均为真实、有效、准确的，并愿意承担因我方就此弄虚作假所引起的一切法律后果，同时理解和同意有可能被要求提供更多的资料。</w:t>
      </w:r>
    </w:p>
    <w:p w14:paraId="7A27EB9C">
      <w:pPr>
        <w:keepNext w:val="0"/>
        <w:keepLines w:val="0"/>
        <w:pageBreakBefore w:val="0"/>
        <w:numPr>
          <w:ilvl w:val="0"/>
          <w:numId w:val="3"/>
        </w:numPr>
        <w:kinsoku/>
        <w:wordWrap w:val="0"/>
        <w:overflowPunct/>
        <w:topLinePunct/>
        <w:bidi w:val="0"/>
        <w:spacing w:before="153" w:line="326" w:lineRule="auto"/>
        <w:ind w:left="13" w:firstLine="5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我方理解你方不一定要接纳收到的最低投标总价或任何投标总价的投标人中标，也不要求你方解释我方是否中标的原因。</w:t>
      </w:r>
    </w:p>
    <w:p w14:paraId="24A26A8E">
      <w:pPr>
        <w:keepNext w:val="0"/>
        <w:keepLines w:val="0"/>
        <w:pageBreakBefore w:val="0"/>
        <w:numPr>
          <w:ilvl w:val="0"/>
          <w:numId w:val="3"/>
        </w:numPr>
        <w:kinsoku/>
        <w:wordWrap w:val="0"/>
        <w:overflowPunct/>
        <w:topLinePunct/>
        <w:bidi w:val="0"/>
        <w:spacing w:before="153" w:line="326" w:lineRule="auto"/>
        <w:ind w:left="13" w:firstLine="567"/>
        <w:rPr>
          <w:rFonts w:hint="eastAsia" w:ascii="宋体" w:hAnsi="宋体" w:eastAsia="宋体" w:cs="宋体"/>
          <w:color w:val="auto"/>
          <w:spacing w:val="0"/>
          <w:sz w:val="24"/>
          <w:szCs w:val="24"/>
          <w:highlight w:val="none"/>
          <w:lang w:val="en-US" w:eastAsia="zh-CN"/>
        </w:rPr>
      </w:pPr>
      <w:bookmarkStart w:id="186" w:name="OLE_LINK4"/>
      <w:r>
        <w:rPr>
          <w:rFonts w:hint="eastAsia" w:ascii="宋体" w:hAnsi="宋体" w:eastAsia="宋体" w:cs="宋体"/>
          <w:color w:val="auto"/>
          <w:spacing w:val="0"/>
          <w:sz w:val="24"/>
          <w:szCs w:val="24"/>
          <w:highlight w:val="none"/>
          <w:lang w:val="en-US" w:eastAsia="zh-CN"/>
        </w:rPr>
        <w:t>我方理解你方不一定要接纳本次招标评标阶段综合得分最高的投标人中标，也不要求你方解释我方是否中标的原因。</w:t>
      </w:r>
    </w:p>
    <w:bookmarkEnd w:id="186"/>
    <w:p w14:paraId="029BC3E6">
      <w:pPr>
        <w:pStyle w:val="6"/>
        <w:keepNext w:val="0"/>
        <w:keepLines w:val="0"/>
        <w:pageBreakBefore w:val="0"/>
        <w:kinsoku/>
        <w:wordWrap w:val="0"/>
        <w:overflowPunct/>
        <w:topLinePunct/>
        <w:bidi w:val="0"/>
        <w:spacing w:line="276" w:lineRule="auto"/>
        <w:rPr>
          <w:rFonts w:hint="eastAsia" w:ascii="宋体" w:hAnsi="宋体" w:eastAsia="宋体" w:cs="宋体"/>
          <w:color w:val="auto"/>
          <w:spacing w:val="0"/>
          <w:highlight w:val="none"/>
        </w:rPr>
      </w:pPr>
    </w:p>
    <w:p w14:paraId="1FC8A093">
      <w:pPr>
        <w:pStyle w:val="6"/>
        <w:keepNext w:val="0"/>
        <w:keepLines w:val="0"/>
        <w:pageBreakBefore w:val="0"/>
        <w:kinsoku/>
        <w:wordWrap w:val="0"/>
        <w:overflowPunct/>
        <w:topLinePunct/>
        <w:bidi w:val="0"/>
        <w:spacing w:line="277" w:lineRule="auto"/>
        <w:rPr>
          <w:rFonts w:hint="eastAsia" w:ascii="宋体" w:hAnsi="宋体" w:eastAsia="宋体" w:cs="宋体"/>
          <w:color w:val="auto"/>
          <w:spacing w:val="0"/>
          <w:highlight w:val="none"/>
        </w:rPr>
      </w:pPr>
    </w:p>
    <w:p w14:paraId="325B4EB1">
      <w:pPr>
        <w:pStyle w:val="6"/>
        <w:keepNext w:val="0"/>
        <w:keepLines w:val="0"/>
        <w:pageBreakBefore w:val="0"/>
        <w:kinsoku/>
        <w:wordWrap w:val="0"/>
        <w:overflowPunct/>
        <w:topLinePunct/>
        <w:bidi w:val="0"/>
        <w:spacing w:line="277" w:lineRule="auto"/>
        <w:rPr>
          <w:rFonts w:hint="eastAsia" w:ascii="宋体" w:hAnsi="宋体" w:eastAsia="宋体" w:cs="宋体"/>
          <w:color w:val="auto"/>
          <w:spacing w:val="0"/>
          <w:highlight w:val="none"/>
        </w:rPr>
      </w:pPr>
    </w:p>
    <w:p w14:paraId="552BCB73">
      <w:pPr>
        <w:keepNext w:val="0"/>
        <w:keepLines w:val="0"/>
        <w:pageBreakBefore w:val="0"/>
        <w:kinsoku/>
        <w:wordWrap w:val="0"/>
        <w:overflowPunct/>
        <w:topLinePunct/>
        <w:bidi w:val="0"/>
        <w:spacing w:before="79" w:line="219" w:lineRule="auto"/>
        <w:ind w:firstLine="5760" w:firstLineChars="24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7DB3BA51">
      <w:pPr>
        <w:pStyle w:val="6"/>
        <w:keepNext w:val="0"/>
        <w:keepLines w:val="0"/>
        <w:pageBreakBefore w:val="0"/>
        <w:kinsoku/>
        <w:wordWrap w:val="0"/>
        <w:overflowPunct/>
        <w:topLinePunct/>
        <w:bidi w:val="0"/>
        <w:spacing w:line="256" w:lineRule="auto"/>
        <w:jc w:val="right"/>
        <w:rPr>
          <w:rFonts w:hint="eastAsia" w:ascii="宋体" w:hAnsi="宋体" w:eastAsia="宋体" w:cs="宋体"/>
          <w:color w:val="auto"/>
          <w:spacing w:val="0"/>
          <w:highlight w:val="none"/>
        </w:rPr>
      </w:pPr>
    </w:p>
    <w:p w14:paraId="47F975E5">
      <w:pPr>
        <w:pStyle w:val="6"/>
        <w:keepNext w:val="0"/>
        <w:keepLines w:val="0"/>
        <w:pageBreakBefore w:val="0"/>
        <w:kinsoku/>
        <w:wordWrap w:val="0"/>
        <w:overflowPunct/>
        <w:topLinePunct/>
        <w:bidi w:val="0"/>
        <w:spacing w:line="256" w:lineRule="auto"/>
        <w:jc w:val="right"/>
        <w:rPr>
          <w:rFonts w:hint="eastAsia" w:ascii="宋体" w:hAnsi="宋体" w:eastAsia="宋体" w:cs="宋体"/>
          <w:color w:val="auto"/>
          <w:spacing w:val="0"/>
          <w:highlight w:val="none"/>
        </w:rPr>
      </w:pPr>
    </w:p>
    <w:p w14:paraId="709EDFAE">
      <w:pPr>
        <w:keepNext w:val="0"/>
        <w:keepLines w:val="0"/>
        <w:pageBreakBefore w:val="0"/>
        <w:kinsoku/>
        <w:wordWrap w:val="0"/>
        <w:overflowPunct/>
        <w:topLinePunct/>
        <w:bidi w:val="0"/>
        <w:spacing w:before="78" w:line="219" w:lineRule="auto"/>
        <w:ind w:left="3922"/>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0CDF08DC">
      <w:pPr>
        <w:pStyle w:val="6"/>
        <w:keepNext w:val="0"/>
        <w:keepLines w:val="0"/>
        <w:pageBreakBefore w:val="0"/>
        <w:kinsoku/>
        <w:wordWrap w:val="0"/>
        <w:overflowPunct/>
        <w:topLinePunct/>
        <w:bidi w:val="0"/>
        <w:spacing w:line="257" w:lineRule="auto"/>
        <w:rPr>
          <w:rFonts w:hint="eastAsia" w:ascii="宋体" w:hAnsi="宋体" w:eastAsia="宋体" w:cs="宋体"/>
          <w:color w:val="auto"/>
          <w:spacing w:val="0"/>
          <w:highlight w:val="none"/>
        </w:rPr>
      </w:pPr>
    </w:p>
    <w:p w14:paraId="7321D7B2">
      <w:pPr>
        <w:pStyle w:val="6"/>
        <w:keepNext w:val="0"/>
        <w:keepLines w:val="0"/>
        <w:pageBreakBefore w:val="0"/>
        <w:kinsoku/>
        <w:wordWrap w:val="0"/>
        <w:overflowPunct/>
        <w:topLinePunct/>
        <w:bidi w:val="0"/>
        <w:spacing w:line="257" w:lineRule="auto"/>
        <w:rPr>
          <w:rFonts w:hint="eastAsia" w:ascii="宋体" w:hAnsi="宋体" w:eastAsia="宋体" w:cs="宋体"/>
          <w:color w:val="auto"/>
          <w:spacing w:val="0"/>
          <w:highlight w:val="none"/>
        </w:rPr>
      </w:pPr>
    </w:p>
    <w:p w14:paraId="0D4EB1B4">
      <w:pPr>
        <w:keepNext w:val="0"/>
        <w:keepLines w:val="0"/>
        <w:pageBreakBefore w:val="0"/>
        <w:kinsoku/>
        <w:wordWrap w:val="0"/>
        <w:overflowPunct/>
        <w:topLinePunct/>
        <w:bidi w:val="0"/>
        <w:spacing w:before="79" w:line="220" w:lineRule="auto"/>
        <w:ind w:left="697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日</w:t>
      </w:r>
    </w:p>
    <w:p w14:paraId="7230CC78">
      <w:pPr>
        <w:keepNext w:val="0"/>
        <w:keepLines w:val="0"/>
        <w:pageBreakBefore w:val="0"/>
        <w:kinsoku/>
        <w:wordWrap w:val="0"/>
        <w:overflowPunct/>
        <w:topLinePunct/>
        <w:bidi w:val="0"/>
        <w:spacing w:line="220" w:lineRule="auto"/>
        <w:rPr>
          <w:rFonts w:hint="eastAsia" w:ascii="宋体" w:hAnsi="宋体" w:eastAsia="宋体" w:cs="宋体"/>
          <w:color w:val="auto"/>
          <w:spacing w:val="0"/>
          <w:sz w:val="24"/>
          <w:szCs w:val="24"/>
          <w:highlight w:val="none"/>
        </w:rPr>
        <w:sectPr>
          <w:footerReference r:id="rId13"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4B9DF9C1">
      <w:pPr>
        <w:keepNext w:val="0"/>
        <w:keepLines w:val="0"/>
        <w:pageBreakBefore w:val="0"/>
        <w:kinsoku/>
        <w:wordWrap w:val="0"/>
        <w:overflowPunct/>
        <w:topLinePunct/>
        <w:bidi w:val="0"/>
        <w:spacing w:before="78" w:line="220" w:lineRule="auto"/>
        <w:outlineLvl w:val="2"/>
        <w:rPr>
          <w:rFonts w:hint="eastAsia" w:ascii="宋体" w:hAnsi="宋体" w:eastAsia="宋体" w:cs="宋体"/>
          <w:b/>
          <w:bCs/>
          <w:color w:val="auto"/>
          <w:spacing w:val="0"/>
          <w:sz w:val="24"/>
          <w:szCs w:val="24"/>
          <w:highlight w:val="none"/>
        </w:rPr>
      </w:pPr>
      <w:bookmarkStart w:id="187" w:name="_Toc9640"/>
      <w:r>
        <w:rPr>
          <w:rFonts w:hint="eastAsia" w:ascii="宋体" w:hAnsi="宋体" w:eastAsia="宋体" w:cs="宋体"/>
          <w:b/>
          <w:bCs/>
          <w:color w:val="auto"/>
          <w:spacing w:val="0"/>
          <w:sz w:val="24"/>
          <w:szCs w:val="24"/>
          <w:highlight w:val="none"/>
        </w:rPr>
        <w:t>格式三 各项承诺一览表</w:t>
      </w:r>
      <w:bookmarkEnd w:id="187"/>
    </w:p>
    <w:p w14:paraId="39391DA3">
      <w:pPr>
        <w:pStyle w:val="6"/>
        <w:keepNext w:val="0"/>
        <w:keepLines w:val="0"/>
        <w:pageBreakBefore w:val="0"/>
        <w:kinsoku/>
        <w:wordWrap w:val="0"/>
        <w:overflowPunct/>
        <w:topLinePunct/>
        <w:bidi w:val="0"/>
        <w:spacing w:line="254" w:lineRule="auto"/>
        <w:rPr>
          <w:rFonts w:hint="eastAsia" w:ascii="宋体" w:hAnsi="宋体" w:eastAsia="宋体" w:cs="宋体"/>
          <w:color w:val="auto"/>
          <w:spacing w:val="0"/>
          <w:highlight w:val="none"/>
        </w:rPr>
      </w:pPr>
    </w:p>
    <w:p w14:paraId="231AA2EE">
      <w:pPr>
        <w:keepNext w:val="0"/>
        <w:keepLines w:val="0"/>
        <w:pageBreakBefore w:val="0"/>
        <w:kinsoku/>
        <w:wordWrap w:val="0"/>
        <w:overflowPunct/>
        <w:topLinePunct/>
        <w:bidi w:val="0"/>
        <w:spacing w:before="98" w:line="220" w:lineRule="auto"/>
        <w:ind w:left="3581"/>
        <w:outlineLvl w:val="9"/>
        <w:rPr>
          <w:rFonts w:hint="eastAsia" w:ascii="宋体" w:hAnsi="宋体" w:eastAsia="宋体" w:cs="宋体"/>
          <w:color w:val="auto"/>
          <w:spacing w:val="0"/>
          <w:sz w:val="30"/>
          <w:szCs w:val="30"/>
          <w:highlight w:val="none"/>
        </w:rPr>
      </w:pPr>
      <w:bookmarkStart w:id="188" w:name="bookmark149"/>
      <w:bookmarkEnd w:id="188"/>
      <w:bookmarkStart w:id="189" w:name="_Toc4767"/>
      <w:bookmarkStart w:id="190" w:name="_Toc10326"/>
      <w:bookmarkStart w:id="191" w:name="_Toc2936"/>
      <w:r>
        <w:rPr>
          <w:rFonts w:hint="eastAsia" w:ascii="宋体" w:hAnsi="宋体" w:eastAsia="宋体" w:cs="宋体"/>
          <w:b/>
          <w:bCs/>
          <w:color w:val="auto"/>
          <w:spacing w:val="0"/>
          <w:sz w:val="30"/>
          <w:szCs w:val="30"/>
          <w:highlight w:val="none"/>
        </w:rPr>
        <w:t>各项承诺一览表</w:t>
      </w:r>
      <w:bookmarkEnd w:id="189"/>
      <w:bookmarkEnd w:id="190"/>
      <w:bookmarkEnd w:id="191"/>
    </w:p>
    <w:p w14:paraId="4A9B7254">
      <w:pPr>
        <w:keepNext w:val="0"/>
        <w:keepLines w:val="0"/>
        <w:pageBreakBefore w:val="0"/>
        <w:kinsoku/>
        <w:wordWrap w:val="0"/>
        <w:overflowPunct/>
        <w:topLinePunct/>
        <w:bidi w:val="0"/>
        <w:spacing w:before="6"/>
        <w:rPr>
          <w:rFonts w:hint="eastAsia" w:ascii="宋体" w:hAnsi="宋体" w:eastAsia="宋体" w:cs="宋体"/>
          <w:color w:val="auto"/>
          <w:spacing w:val="0"/>
          <w:highlight w:val="none"/>
        </w:rPr>
      </w:pPr>
    </w:p>
    <w:tbl>
      <w:tblPr>
        <w:tblStyle w:val="16"/>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CEB1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64" w:type="dxa"/>
            <w:vAlign w:val="center"/>
          </w:tcPr>
          <w:p w14:paraId="7BC10D27">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75" w:type="dxa"/>
            <w:vAlign w:val="center"/>
          </w:tcPr>
          <w:p w14:paraId="26FF8D07">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承诺事项</w:t>
            </w:r>
          </w:p>
        </w:tc>
        <w:tc>
          <w:tcPr>
            <w:tcW w:w="3107" w:type="dxa"/>
            <w:vAlign w:val="center"/>
          </w:tcPr>
          <w:p w14:paraId="4413642B">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承诺内容</w:t>
            </w:r>
          </w:p>
        </w:tc>
        <w:tc>
          <w:tcPr>
            <w:tcW w:w="4272" w:type="dxa"/>
            <w:vAlign w:val="center"/>
          </w:tcPr>
          <w:p w14:paraId="4BD9AC61">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违约承诺</w:t>
            </w:r>
          </w:p>
        </w:tc>
      </w:tr>
      <w:tr w14:paraId="17E96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64" w:type="dxa"/>
            <w:vAlign w:val="center"/>
          </w:tcPr>
          <w:p w14:paraId="4299E386">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75" w:type="dxa"/>
            <w:vAlign w:val="center"/>
          </w:tcPr>
          <w:p w14:paraId="5F55E746">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自愿接受招标文件条款的承诺</w:t>
            </w:r>
          </w:p>
        </w:tc>
        <w:tc>
          <w:tcPr>
            <w:tcW w:w="3107" w:type="dxa"/>
            <w:vAlign w:val="center"/>
          </w:tcPr>
          <w:p w14:paraId="2E2E4FBB">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我方自愿接受招标文件的所有条款，所递交的投标文件已经充分响应招标文件的实质性要求。</w:t>
            </w:r>
          </w:p>
        </w:tc>
        <w:tc>
          <w:tcPr>
            <w:tcW w:w="4272" w:type="dxa"/>
            <w:vAlign w:val="center"/>
          </w:tcPr>
          <w:p w14:paraId="72EAB762">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如果我方的投标文件未响应、违反、偏 离招标文件的实质性要求，我方接受招标人或其授权的招标代理机构或其组建的评标委员会依据招标文件作出的相应处理，包括否决投标。</w:t>
            </w:r>
          </w:p>
        </w:tc>
      </w:tr>
      <w:tr w14:paraId="1C765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64" w:type="dxa"/>
            <w:vAlign w:val="center"/>
          </w:tcPr>
          <w:p w14:paraId="325EDF4E">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75" w:type="dxa"/>
            <w:vAlign w:val="center"/>
          </w:tcPr>
          <w:p w14:paraId="2D236589">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无禁止投标情形的承诺</w:t>
            </w:r>
          </w:p>
        </w:tc>
        <w:tc>
          <w:tcPr>
            <w:tcW w:w="3107" w:type="dxa"/>
            <w:vAlign w:val="center"/>
          </w:tcPr>
          <w:p w14:paraId="577CF158">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我方不存在招标文件第一 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 款 ”规定的任何一种情形。</w:t>
            </w:r>
          </w:p>
        </w:tc>
        <w:tc>
          <w:tcPr>
            <w:tcW w:w="4272" w:type="dxa"/>
            <w:vAlign w:val="center"/>
          </w:tcPr>
          <w:p w14:paraId="79E39B38">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如果我方有招标文件第一章第三节第 </w:t>
            </w:r>
            <w:r>
              <w:rPr>
                <w:rFonts w:hint="eastAsia" w:ascii="宋体" w:hAnsi="宋体" w:eastAsia="宋体" w:cs="宋体"/>
                <w:b/>
                <w:bCs/>
                <w:color w:val="auto"/>
                <w:spacing w:val="0"/>
                <w:sz w:val="24"/>
                <w:szCs w:val="24"/>
                <w:highlight w:val="none"/>
              </w:rPr>
              <w:t xml:space="preserve">2.  4 </w:t>
            </w:r>
            <w:r>
              <w:rPr>
                <w:rFonts w:hint="eastAsia" w:ascii="宋体" w:hAnsi="宋体" w:eastAsia="宋体" w:cs="宋体"/>
                <w:color w:val="auto"/>
                <w:spacing w:val="0"/>
                <w:sz w:val="24"/>
                <w:szCs w:val="24"/>
                <w:highlight w:val="none"/>
              </w:rPr>
              <w:t>条“禁止投标条款 ”规定的任何一种情形，我方接受招标人或其授权的招标代理机构或 其组建的评标委员会依据招标文件作出的相应处理以及有关监督部门作出的行政处罚，并承担由此引起的一切法律后果。</w:t>
            </w:r>
          </w:p>
        </w:tc>
      </w:tr>
      <w:tr w14:paraId="3B79A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64" w:type="dxa"/>
            <w:vAlign w:val="center"/>
          </w:tcPr>
          <w:p w14:paraId="62430690">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75" w:type="dxa"/>
            <w:vAlign w:val="center"/>
          </w:tcPr>
          <w:p w14:paraId="061E558D">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自觉抵制围标</w:t>
            </w:r>
          </w:p>
          <w:p w14:paraId="27E91D60">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串标和弄虚</w:t>
            </w:r>
          </w:p>
          <w:p w14:paraId="55CDE15D">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作假行为的承诺</w:t>
            </w:r>
          </w:p>
        </w:tc>
        <w:tc>
          <w:tcPr>
            <w:tcW w:w="3107" w:type="dxa"/>
            <w:vAlign w:val="center"/>
          </w:tcPr>
          <w:p w14:paraId="7E4A53E2">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我方合法正当、诚实守信地参与投标，不组织、不参加围标串标违法行为，不通过弄虚作假 行为骗取中标。</w:t>
            </w:r>
          </w:p>
        </w:tc>
        <w:tc>
          <w:tcPr>
            <w:tcW w:w="4272" w:type="dxa"/>
            <w:vAlign w:val="center"/>
          </w:tcPr>
          <w:p w14:paraId="2333FD57">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68D59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64" w:type="dxa"/>
            <w:vAlign w:val="center"/>
          </w:tcPr>
          <w:p w14:paraId="77C4E1FA">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675" w:type="dxa"/>
            <w:vAlign w:val="center"/>
          </w:tcPr>
          <w:p w14:paraId="14CCA9A4">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项目经理任职承诺</w:t>
            </w:r>
          </w:p>
        </w:tc>
        <w:tc>
          <w:tcPr>
            <w:tcW w:w="3107" w:type="dxa"/>
            <w:vAlign w:val="center"/>
          </w:tcPr>
          <w:p w14:paraId="544DDE23">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我方拟派项目经理现阶段没有担任任何在施（包括已中标 未开工、已开工未竣工）建设工程项目的项目经理。</w:t>
            </w:r>
          </w:p>
        </w:tc>
        <w:tc>
          <w:tcPr>
            <w:tcW w:w="4272" w:type="dxa"/>
            <w:vAlign w:val="center"/>
          </w:tcPr>
          <w:p w14:paraId="1BA879D6">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如果我方拟派项目经理在本项目招标投 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57404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64" w:type="dxa"/>
            <w:vAlign w:val="center"/>
          </w:tcPr>
          <w:p w14:paraId="7135DB7E">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675" w:type="dxa"/>
            <w:vAlign w:val="center"/>
          </w:tcPr>
          <w:p w14:paraId="47DE0465">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w:t>
            </w:r>
          </w:p>
          <w:p w14:paraId="12A8604E">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真实性承诺</w:t>
            </w:r>
          </w:p>
        </w:tc>
        <w:tc>
          <w:tcPr>
            <w:tcW w:w="3107" w:type="dxa"/>
            <w:vAlign w:val="center"/>
          </w:tcPr>
          <w:p w14:paraId="50BBB471">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我方所递交投标文件的全部内容均为真实、有效、准确的。</w:t>
            </w:r>
          </w:p>
        </w:tc>
        <w:tc>
          <w:tcPr>
            <w:tcW w:w="4272" w:type="dxa"/>
            <w:vAlign w:val="center"/>
          </w:tcPr>
          <w:p w14:paraId="439C2FDD">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如果我方递交的投标文件任何内容不真实或无效或不准确，我方接受招标人或其授权的招标代理机构或其组建的评标委员会依据招标文件作出的相应处理，包括否决投标。</w:t>
            </w:r>
          </w:p>
        </w:tc>
      </w:tr>
      <w:tr w14:paraId="23936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64" w:type="dxa"/>
            <w:vAlign w:val="center"/>
          </w:tcPr>
          <w:p w14:paraId="47F0C67D">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r>
              <w:rPr>
                <w:rFonts w:hint="eastAsia" w:ascii="宋体" w:hAnsi="宋体" w:eastAsia="宋体" w:cs="宋体"/>
                <w:color w:val="auto"/>
                <w:spacing w:val="0"/>
                <w:sz w:val="24"/>
                <w:szCs w:val="24"/>
                <w:highlight w:val="none"/>
              </w:rPr>
              <w:drawing>
                <wp:anchor distT="0" distB="0" distL="114300" distR="114300" simplePos="0" relativeHeight="251663360"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1"/>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546CE715">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w:t>
            </w:r>
          </w:p>
          <w:p w14:paraId="2B2B472A">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信息公开承诺</w:t>
            </w:r>
          </w:p>
        </w:tc>
        <w:tc>
          <w:tcPr>
            <w:tcW w:w="3107" w:type="dxa"/>
            <w:vAlign w:val="center"/>
          </w:tcPr>
          <w:p w14:paraId="241FF417">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我方提供完整的文件。如果我方成为本项目中标候选人，我方同意并授权招标人在评标结果公示期内公开我方商务标书的全部内容。</w:t>
            </w:r>
          </w:p>
        </w:tc>
        <w:tc>
          <w:tcPr>
            <w:tcW w:w="4272" w:type="dxa"/>
            <w:vAlign w:val="center"/>
            <mc:AlternateContent>
              <mc:Choice Requires="wpsCustomData">
                <wpsCustomData:diagonals>
                  <wpsCustomData:diagonal from="20000" to="0">
                    <wpsCustomData:border w:val="single" w:color="000000" w:sz="2" w:space="0"/>
                  </wpsCustomData:diagonal>
                </wpsCustomData:diagonals>
              </mc:Choice>
            </mc:AlternateContent>
          </w:tcPr>
          <w:p w14:paraId="60EB0A9D">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p>
          <w:p w14:paraId="7B208F7C">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p>
          <w:p w14:paraId="5F5874B0">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mc:AlternateContent>
                <mc:Choice Requires="wpsCustomData">
                  <wpsCustomData:diagonalParaType/>
                </mc:Choice>
              </mc:AlternateContent>
              <w:rPr>
                <w:rFonts w:hint="eastAsia" w:ascii="宋体" w:hAnsi="宋体" w:eastAsia="宋体" w:cs="宋体"/>
                <w:color w:val="auto"/>
                <w:spacing w:val="0"/>
                <w:sz w:val="24"/>
                <w:szCs w:val="24"/>
                <w:highlight w:val="none"/>
              </w:rPr>
            </w:pPr>
          </w:p>
          <w:p w14:paraId="194F5E2D">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p>
        </w:tc>
      </w:tr>
      <w:tr w14:paraId="127BB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64" w:type="dxa"/>
            <w:vAlign w:val="center"/>
          </w:tcPr>
          <w:p w14:paraId="24757A27">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675" w:type="dxa"/>
            <w:vAlign w:val="center"/>
          </w:tcPr>
          <w:p w14:paraId="5CE29169">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对不正常报价的确认承诺</w:t>
            </w:r>
          </w:p>
        </w:tc>
        <w:tc>
          <w:tcPr>
            <w:tcW w:w="3107" w:type="dxa"/>
            <w:vAlign w:val="center"/>
          </w:tcPr>
          <w:p w14:paraId="1DB89129">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如果我方中标，我方接受招标人在合同订立期间依据招标文件有关条款约定对我方已标价工程量清单中不正常报价的修正或认定，并按要求签署《不正常报价清单》加以确认。</w:t>
            </w:r>
          </w:p>
        </w:tc>
        <w:tc>
          <w:tcPr>
            <w:tcW w:w="4272" w:type="dxa"/>
            <w:vAlign w:val="center"/>
            <mc:AlternateContent>
              <mc:Choice Requires="wpsCustomData">
                <wpsCustomData:diagonals>
                  <wpsCustomData:diagonal from="20000" to="0">
                    <wpsCustomData:border w:val="single" w:color="000000" w:sz="2" w:space="0"/>
                  </wpsCustomData:diagonal>
                </wpsCustomData:diagonals>
              </mc:Choice>
            </mc:AlternateContent>
          </w:tcPr>
          <w:p w14:paraId="3D6644E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p>
          <w:p w14:paraId="19ED2AC5">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p>
          <w:p w14:paraId="19F19D7E">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p>
          <w:p w14:paraId="5E5A9DCA">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mc:AlternateContent>
                <mc:Choice Requires="wpsCustomData">
                  <wpsCustomData:diagonalParaType/>
                </mc:Choice>
              </mc:AlternateContent>
              <w:rPr>
                <w:rFonts w:hint="eastAsia" w:ascii="宋体" w:hAnsi="宋体" w:eastAsia="宋体" w:cs="宋体"/>
                <w:color w:val="auto"/>
                <w:spacing w:val="0"/>
                <w:sz w:val="24"/>
                <w:szCs w:val="24"/>
                <w:highlight w:val="none"/>
              </w:rPr>
            </w:pPr>
          </w:p>
          <w:p w14:paraId="17D91D22">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p>
        </w:tc>
      </w:tr>
      <w:tr w14:paraId="45214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64" w:type="dxa"/>
            <w:vAlign w:val="center"/>
          </w:tcPr>
          <w:p w14:paraId="65537B52">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w:t>
            </w:r>
          </w:p>
        </w:tc>
        <w:tc>
          <w:tcPr>
            <w:tcW w:w="1675" w:type="dxa"/>
            <w:vAlign w:val="center"/>
          </w:tcPr>
          <w:p w14:paraId="4C2EE520">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按时提交履约保证的承诺</w:t>
            </w:r>
          </w:p>
        </w:tc>
        <w:tc>
          <w:tcPr>
            <w:tcW w:w="3107" w:type="dxa"/>
            <w:vAlign w:val="center"/>
          </w:tcPr>
          <w:p w14:paraId="135612BC">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如果我方中标，我方保证在招标文件规定的时限内全额提交履约保证。</w:t>
            </w:r>
          </w:p>
        </w:tc>
        <w:tc>
          <w:tcPr>
            <w:tcW w:w="4272" w:type="dxa"/>
            <w:vAlign w:val="center"/>
          </w:tcPr>
          <w:p w14:paraId="40E1240F">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如果我方未在招标文件规定的时限内全 额提交履约保证，我方接受招标人依据招标文件作出的相应处理以及有关监督部门作出的行政处罚，并承担由此引起的一切法律后果。</w:t>
            </w:r>
          </w:p>
        </w:tc>
      </w:tr>
      <w:tr w14:paraId="7A21F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64" w:type="dxa"/>
            <w:vAlign w:val="center"/>
          </w:tcPr>
          <w:p w14:paraId="095F3A20">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w:t>
            </w:r>
          </w:p>
        </w:tc>
        <w:tc>
          <w:tcPr>
            <w:tcW w:w="1675" w:type="dxa"/>
            <w:vAlign w:val="center"/>
          </w:tcPr>
          <w:p w14:paraId="737E2E3D">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按时签订合同的承诺</w:t>
            </w:r>
          </w:p>
        </w:tc>
        <w:tc>
          <w:tcPr>
            <w:tcW w:w="3107" w:type="dxa"/>
            <w:vAlign w:val="center"/>
          </w:tcPr>
          <w:p w14:paraId="6784148F">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如果我方中标，我方保证在 招标文件规定的时限内与招标人签订合同，不提出违背或超出招标文件、中标文件的要求。</w:t>
            </w:r>
          </w:p>
        </w:tc>
        <w:tc>
          <w:tcPr>
            <w:tcW w:w="4272" w:type="dxa"/>
            <w:vAlign w:val="center"/>
          </w:tcPr>
          <w:p w14:paraId="25C9F0AB">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如果我方未在招标文件规定的时限内与招标人签订合同，或我方在签订合同过程中提出违背或超出招标文件、中标文件的要求。我方接受招标人依据招标文件作出的相应处 理以及有关监督部门作出的行政处罚，并承担由此引起的一切法律后果。</w:t>
            </w:r>
          </w:p>
        </w:tc>
      </w:tr>
    </w:tbl>
    <w:p w14:paraId="1D2B3980">
      <w:pPr>
        <w:keepNext w:val="0"/>
        <w:keepLines w:val="0"/>
        <w:pageBreakBefore w:val="0"/>
        <w:kinsoku/>
        <w:wordWrap w:val="0"/>
        <w:overflowPunct/>
        <w:topLinePunct/>
        <w:bidi w:val="0"/>
        <w:spacing w:before="78" w:line="219" w:lineRule="auto"/>
        <w:ind w:firstLine="6720" w:firstLineChars="2800"/>
        <w:jc w:val="both"/>
        <w:rPr>
          <w:rFonts w:hint="eastAsia" w:ascii="宋体" w:hAnsi="宋体" w:eastAsia="宋体" w:cs="宋体"/>
          <w:color w:val="auto"/>
          <w:spacing w:val="0"/>
          <w:sz w:val="24"/>
          <w:szCs w:val="24"/>
          <w:highlight w:val="none"/>
        </w:rPr>
      </w:pPr>
    </w:p>
    <w:p w14:paraId="754E7016">
      <w:pPr>
        <w:keepNext w:val="0"/>
        <w:keepLines w:val="0"/>
        <w:pageBreakBefore w:val="0"/>
        <w:kinsoku/>
        <w:wordWrap w:val="0"/>
        <w:overflowPunct/>
        <w:topLinePunct/>
        <w:bidi w:val="0"/>
        <w:spacing w:before="78" w:line="219" w:lineRule="auto"/>
        <w:ind w:firstLine="6720" w:firstLineChars="2800"/>
        <w:jc w:val="both"/>
        <w:rPr>
          <w:rFonts w:hint="eastAsia" w:ascii="宋体" w:hAnsi="宋体" w:eastAsia="宋体" w:cs="宋体"/>
          <w:color w:val="auto"/>
          <w:spacing w:val="0"/>
          <w:sz w:val="24"/>
          <w:szCs w:val="24"/>
          <w:highlight w:val="none"/>
        </w:rPr>
      </w:pPr>
    </w:p>
    <w:p w14:paraId="00D108DF">
      <w:pPr>
        <w:keepNext w:val="0"/>
        <w:keepLines w:val="0"/>
        <w:pageBreakBefore w:val="0"/>
        <w:kinsoku/>
        <w:wordWrap w:val="0"/>
        <w:overflowPunct/>
        <w:topLinePunct/>
        <w:bidi w:val="0"/>
        <w:spacing w:before="78" w:line="219" w:lineRule="auto"/>
        <w:ind w:firstLine="6720" w:firstLineChars="2800"/>
        <w:jc w:val="both"/>
        <w:rPr>
          <w:rFonts w:hint="eastAsia" w:ascii="宋体" w:hAnsi="宋体" w:eastAsia="宋体" w:cs="宋体"/>
          <w:color w:val="auto"/>
          <w:spacing w:val="0"/>
          <w:sz w:val="24"/>
          <w:szCs w:val="24"/>
          <w:highlight w:val="none"/>
        </w:rPr>
      </w:pPr>
    </w:p>
    <w:p w14:paraId="1CA5B450">
      <w:pPr>
        <w:keepNext w:val="0"/>
        <w:keepLines w:val="0"/>
        <w:pageBreakBefore w:val="0"/>
        <w:kinsoku/>
        <w:wordWrap w:val="0"/>
        <w:overflowPunct/>
        <w:topLinePunct/>
        <w:bidi w:val="0"/>
        <w:spacing w:before="78" w:line="219" w:lineRule="auto"/>
        <w:ind w:firstLine="6720" w:firstLineChars="280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5F6203A7">
      <w:pPr>
        <w:pStyle w:val="6"/>
        <w:keepNext w:val="0"/>
        <w:keepLines w:val="0"/>
        <w:pageBreakBefore w:val="0"/>
        <w:kinsoku/>
        <w:wordWrap w:val="0"/>
        <w:overflowPunct/>
        <w:topLinePunct/>
        <w:bidi w:val="0"/>
        <w:spacing w:line="297" w:lineRule="auto"/>
        <w:jc w:val="right"/>
        <w:rPr>
          <w:rFonts w:hint="eastAsia" w:ascii="宋体" w:hAnsi="宋体" w:eastAsia="宋体" w:cs="宋体"/>
          <w:color w:val="auto"/>
          <w:spacing w:val="0"/>
          <w:highlight w:val="none"/>
        </w:rPr>
      </w:pPr>
    </w:p>
    <w:p w14:paraId="28825154">
      <w:pPr>
        <w:keepNext w:val="0"/>
        <w:keepLines w:val="0"/>
        <w:pageBreakBefore w:val="0"/>
        <w:kinsoku/>
        <w:wordWrap w:val="0"/>
        <w:overflowPunct/>
        <w:topLinePunct/>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3F1C9724">
      <w:pPr>
        <w:keepNext w:val="0"/>
        <w:keepLines w:val="0"/>
        <w:pageBreakBefore w:val="0"/>
        <w:kinsoku/>
        <w:wordWrap w:val="0"/>
        <w:overflowPunct/>
        <w:topLinePunct/>
        <w:bidi w:val="0"/>
        <w:jc w:val="right"/>
        <w:outlineLvl w:val="9"/>
        <w:rPr>
          <w:rFonts w:hint="eastAsia" w:ascii="宋体" w:hAnsi="宋体" w:eastAsia="宋体" w:cs="宋体"/>
          <w:color w:val="auto"/>
          <w:spacing w:val="0"/>
          <w:highlight w:val="none"/>
        </w:rPr>
      </w:pPr>
    </w:p>
    <w:p w14:paraId="45CF8B5A">
      <w:pPr>
        <w:keepNext w:val="0"/>
        <w:keepLines w:val="0"/>
        <w:pageBreakBefore w:val="0"/>
        <w:kinsoku/>
        <w:wordWrap w:val="0"/>
        <w:overflowPunct/>
        <w:topLinePunct/>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年      月      日</w:t>
      </w:r>
    </w:p>
    <w:p w14:paraId="73AB408A">
      <w:pPr>
        <w:keepNext w:val="0"/>
        <w:keepLines w:val="0"/>
        <w:pageBreakBefore w:val="0"/>
        <w:kinsoku/>
        <w:wordWrap w:val="0"/>
        <w:overflowPunct/>
        <w:topLinePunct/>
        <w:bidi w:val="0"/>
        <w:spacing w:before="78" w:line="219" w:lineRule="auto"/>
        <w:jc w:val="right"/>
        <w:rPr>
          <w:rFonts w:hint="eastAsia" w:ascii="宋体" w:hAnsi="宋体" w:eastAsia="宋体" w:cs="宋体"/>
          <w:color w:val="auto"/>
          <w:spacing w:val="0"/>
          <w:sz w:val="24"/>
          <w:szCs w:val="24"/>
          <w:highlight w:val="none"/>
        </w:rPr>
        <w:sectPr>
          <w:footerReference r:id="rId14"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1D5BBE92">
      <w:pPr>
        <w:keepNext w:val="0"/>
        <w:keepLines w:val="0"/>
        <w:pageBreakBefore w:val="0"/>
        <w:kinsoku/>
        <w:wordWrap w:val="0"/>
        <w:overflowPunct/>
        <w:topLinePunct/>
        <w:bidi w:val="0"/>
        <w:spacing w:before="78" w:line="220" w:lineRule="auto"/>
        <w:outlineLvl w:val="2"/>
        <w:rPr>
          <w:rFonts w:hint="eastAsia" w:ascii="宋体" w:hAnsi="宋体" w:eastAsia="宋体" w:cs="宋体"/>
          <w:b/>
          <w:bCs/>
          <w:color w:val="auto"/>
          <w:spacing w:val="0"/>
          <w:sz w:val="24"/>
          <w:szCs w:val="24"/>
          <w:highlight w:val="none"/>
        </w:rPr>
      </w:pPr>
      <w:bookmarkStart w:id="192" w:name="_Toc10302"/>
      <w:r>
        <w:rPr>
          <w:rFonts w:hint="eastAsia" w:ascii="宋体" w:hAnsi="宋体" w:eastAsia="宋体" w:cs="宋体"/>
          <w:b/>
          <w:bCs/>
          <w:color w:val="auto"/>
          <w:spacing w:val="0"/>
          <w:sz w:val="24"/>
          <w:szCs w:val="24"/>
          <w:highlight w:val="none"/>
        </w:rPr>
        <w:t>格式四 授权委托书</w:t>
      </w:r>
      <w:bookmarkEnd w:id="192"/>
    </w:p>
    <w:p w14:paraId="2EAF7510">
      <w:pPr>
        <w:pStyle w:val="6"/>
        <w:keepNext w:val="0"/>
        <w:keepLines w:val="0"/>
        <w:pageBreakBefore w:val="0"/>
        <w:kinsoku/>
        <w:wordWrap w:val="0"/>
        <w:overflowPunct/>
        <w:topLinePunct/>
        <w:bidi w:val="0"/>
        <w:spacing w:line="351" w:lineRule="auto"/>
        <w:rPr>
          <w:rFonts w:hint="eastAsia" w:ascii="宋体" w:hAnsi="宋体" w:eastAsia="宋体" w:cs="宋体"/>
          <w:color w:val="auto"/>
          <w:spacing w:val="0"/>
          <w:highlight w:val="none"/>
        </w:rPr>
      </w:pPr>
    </w:p>
    <w:p w14:paraId="298922E7">
      <w:pPr>
        <w:pStyle w:val="6"/>
        <w:keepNext w:val="0"/>
        <w:keepLines w:val="0"/>
        <w:pageBreakBefore w:val="0"/>
        <w:kinsoku/>
        <w:wordWrap w:val="0"/>
        <w:overflowPunct/>
        <w:topLinePunct/>
        <w:bidi w:val="0"/>
        <w:spacing w:line="351" w:lineRule="auto"/>
        <w:rPr>
          <w:rFonts w:hint="eastAsia" w:ascii="宋体" w:hAnsi="宋体" w:eastAsia="宋体" w:cs="宋体"/>
          <w:color w:val="auto"/>
          <w:spacing w:val="0"/>
          <w:highlight w:val="none"/>
        </w:rPr>
      </w:pPr>
    </w:p>
    <w:p w14:paraId="0B64C624">
      <w:pPr>
        <w:keepNext w:val="0"/>
        <w:keepLines w:val="0"/>
        <w:pageBreakBefore w:val="0"/>
        <w:kinsoku/>
        <w:wordWrap w:val="0"/>
        <w:overflowPunct/>
        <w:topLinePunct/>
        <w:bidi w:val="0"/>
        <w:spacing w:before="97" w:line="219" w:lineRule="auto"/>
        <w:ind w:left="3786"/>
        <w:rPr>
          <w:rFonts w:hint="eastAsia" w:ascii="宋体" w:hAnsi="宋体" w:eastAsia="宋体" w:cs="宋体"/>
          <w:color w:val="auto"/>
          <w:spacing w:val="0"/>
          <w:sz w:val="30"/>
          <w:szCs w:val="30"/>
          <w:highlight w:val="none"/>
        </w:rPr>
      </w:pPr>
      <w:bookmarkStart w:id="193" w:name="bookmark151"/>
      <w:bookmarkEnd w:id="193"/>
      <w:r>
        <w:rPr>
          <w:rFonts w:hint="eastAsia" w:ascii="宋体" w:hAnsi="宋体" w:eastAsia="宋体" w:cs="宋体"/>
          <w:b/>
          <w:bCs/>
          <w:color w:val="auto"/>
          <w:spacing w:val="0"/>
          <w:sz w:val="30"/>
          <w:szCs w:val="30"/>
          <w:highlight w:val="none"/>
        </w:rPr>
        <w:t>授权委托书</w:t>
      </w:r>
    </w:p>
    <w:p w14:paraId="7486CE95">
      <w:pPr>
        <w:pStyle w:val="6"/>
        <w:keepNext w:val="0"/>
        <w:keepLines w:val="0"/>
        <w:pageBreakBefore w:val="0"/>
        <w:kinsoku/>
        <w:wordWrap w:val="0"/>
        <w:overflowPunct/>
        <w:topLinePunct/>
        <w:bidi w:val="0"/>
        <w:spacing w:line="250" w:lineRule="auto"/>
        <w:rPr>
          <w:rFonts w:hint="eastAsia" w:ascii="宋体" w:hAnsi="宋体" w:eastAsia="宋体" w:cs="宋体"/>
          <w:color w:val="auto"/>
          <w:spacing w:val="0"/>
          <w:highlight w:val="none"/>
        </w:rPr>
      </w:pPr>
    </w:p>
    <w:p w14:paraId="452E8B01">
      <w:pPr>
        <w:pStyle w:val="6"/>
        <w:keepNext w:val="0"/>
        <w:keepLines w:val="0"/>
        <w:pageBreakBefore w:val="0"/>
        <w:kinsoku/>
        <w:wordWrap w:val="0"/>
        <w:overflowPunct/>
        <w:topLinePunct/>
        <w:bidi w:val="0"/>
        <w:spacing w:line="250" w:lineRule="auto"/>
        <w:rPr>
          <w:rFonts w:hint="eastAsia" w:ascii="宋体" w:hAnsi="宋体" w:eastAsia="宋体" w:cs="宋体"/>
          <w:color w:val="auto"/>
          <w:spacing w:val="0"/>
          <w:highlight w:val="none"/>
        </w:rPr>
      </w:pPr>
    </w:p>
    <w:p w14:paraId="05631E38">
      <w:pPr>
        <w:pStyle w:val="6"/>
        <w:keepNext w:val="0"/>
        <w:keepLines w:val="0"/>
        <w:pageBreakBefore w:val="0"/>
        <w:kinsoku/>
        <w:wordWrap w:val="0"/>
        <w:overflowPunct/>
        <w:topLinePunct/>
        <w:bidi w:val="0"/>
        <w:spacing w:line="251" w:lineRule="auto"/>
        <w:rPr>
          <w:rFonts w:hint="eastAsia" w:ascii="宋体" w:hAnsi="宋体" w:eastAsia="宋体" w:cs="宋体"/>
          <w:color w:val="auto"/>
          <w:spacing w:val="0"/>
          <w:highlight w:val="none"/>
        </w:rPr>
      </w:pPr>
    </w:p>
    <w:p w14:paraId="1DF67007">
      <w:pPr>
        <w:keepNext w:val="0"/>
        <w:keepLines w:val="0"/>
        <w:pageBreakBefore w:val="0"/>
        <w:widowControl/>
        <w:kinsoku/>
        <w:wordWrap w:val="0"/>
        <w:overflowPunct/>
        <w:topLinePunct/>
        <w:autoSpaceDE w:val="0"/>
        <w:autoSpaceDN w:val="0"/>
        <w:bidi w:val="0"/>
        <w:adjustRightInd w:val="0"/>
        <w:snapToGrid w:val="0"/>
        <w:spacing w:before="78" w:line="330" w:lineRule="auto"/>
        <w:ind w:firstLine="48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8"/>
          <w:highlight w:val="none"/>
          <w:lang w:eastAsia="zh-CN"/>
        </w:rPr>
        <w:t>本人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（姓名）系</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（投标人名称）的法定代表人，现委托</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 w:val="24"/>
          <w:szCs w:val="28"/>
          <w:highlight w:val="none"/>
          <w:u w:val="single"/>
          <w:lang w:eastAsia="zh-CN"/>
        </w:rPr>
        <w:t>（项目名称）</w:t>
      </w:r>
      <w:r>
        <w:rPr>
          <w:rFonts w:hint="eastAsia" w:ascii="宋体" w:hAnsi="宋体" w:eastAsia="宋体" w:cs="宋体"/>
          <w:snapToGrid w:val="0"/>
          <w:color w:val="auto"/>
          <w:spacing w:val="0"/>
          <w:kern w:val="0"/>
          <w:sz w:val="24"/>
          <w:szCs w:val="28"/>
          <w:highlight w:val="none"/>
          <w:lang w:eastAsia="zh-CN"/>
        </w:rPr>
        <w:t>施工投标文件、签订合同和处理有关事宜，其法律后果由我方承担。</w:t>
      </w:r>
    </w:p>
    <w:p w14:paraId="0347E4EC">
      <w:pPr>
        <w:keepNext w:val="0"/>
        <w:keepLines w:val="0"/>
        <w:pageBreakBefore w:val="0"/>
        <w:widowControl/>
        <w:kinsoku/>
        <w:wordWrap w:val="0"/>
        <w:overflowPunct/>
        <w:topLinePunct/>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委托期限：至</w:t>
      </w:r>
      <w:r>
        <w:rPr>
          <w:rFonts w:hint="eastAsia" w:ascii="宋体" w:hAnsi="宋体" w:eastAsia="宋体" w:cs="宋体"/>
          <w:color w:val="auto"/>
          <w:spacing w:val="0"/>
          <w:sz w:val="24"/>
          <w:szCs w:val="24"/>
          <w:highlight w:val="none"/>
          <w:u w:val="single"/>
        </w:rPr>
        <w:t xml:space="preserve">     年   月    日</w:t>
      </w:r>
      <w:r>
        <w:rPr>
          <w:rFonts w:hint="eastAsia" w:ascii="宋体" w:hAnsi="宋体" w:eastAsia="宋体" w:cs="宋体"/>
          <w:i/>
          <w:iCs/>
          <w:color w:val="auto"/>
          <w:spacing w:val="0"/>
          <w:sz w:val="25"/>
          <w:szCs w:val="25"/>
          <w:highlight w:val="none"/>
          <w:u w:val="single"/>
        </w:rPr>
        <w:t>（不得短于招标文件规定的投标有效期）</w:t>
      </w:r>
      <w:r>
        <w:rPr>
          <w:rFonts w:hint="eastAsia" w:ascii="宋体" w:hAnsi="宋体" w:eastAsia="宋体" w:cs="宋体"/>
          <w:color w:val="auto"/>
          <w:spacing w:val="0"/>
          <w:sz w:val="25"/>
          <w:szCs w:val="25"/>
          <w:highlight w:val="none"/>
        </w:rPr>
        <w:t xml:space="preserve"> </w:t>
      </w:r>
      <w:r>
        <w:rPr>
          <w:rFonts w:hint="eastAsia" w:ascii="宋体" w:hAnsi="宋体" w:eastAsia="宋体" w:cs="宋体"/>
          <w:color w:val="auto"/>
          <w:spacing w:val="0"/>
          <w:sz w:val="24"/>
          <w:szCs w:val="24"/>
          <w:highlight w:val="none"/>
        </w:rPr>
        <w:t xml:space="preserve">。 </w:t>
      </w:r>
    </w:p>
    <w:p w14:paraId="5FD5FDB0">
      <w:pPr>
        <w:keepNext w:val="0"/>
        <w:keepLines w:val="0"/>
        <w:pageBreakBefore w:val="0"/>
        <w:widowControl/>
        <w:kinsoku/>
        <w:wordWrap w:val="0"/>
        <w:overflowPunct/>
        <w:topLinePunct/>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代理人无转委托权。</w:t>
      </w:r>
    </w:p>
    <w:p w14:paraId="304C310E">
      <w:pPr>
        <w:pStyle w:val="6"/>
        <w:keepNext w:val="0"/>
        <w:keepLines w:val="0"/>
        <w:pageBreakBefore w:val="0"/>
        <w:kinsoku/>
        <w:wordWrap w:val="0"/>
        <w:overflowPunct/>
        <w:topLinePunct/>
        <w:bidi w:val="0"/>
        <w:spacing w:line="276" w:lineRule="auto"/>
        <w:rPr>
          <w:rFonts w:hint="eastAsia" w:ascii="宋体" w:hAnsi="宋体" w:eastAsia="宋体" w:cs="宋体"/>
          <w:color w:val="auto"/>
          <w:spacing w:val="0"/>
          <w:highlight w:val="none"/>
        </w:rPr>
      </w:pPr>
    </w:p>
    <w:p w14:paraId="75E13B2C">
      <w:pPr>
        <w:pStyle w:val="6"/>
        <w:keepNext w:val="0"/>
        <w:keepLines w:val="0"/>
        <w:pageBreakBefore w:val="0"/>
        <w:kinsoku/>
        <w:wordWrap w:val="0"/>
        <w:overflowPunct/>
        <w:topLinePunct/>
        <w:bidi w:val="0"/>
        <w:spacing w:line="277" w:lineRule="auto"/>
        <w:rPr>
          <w:rFonts w:hint="eastAsia" w:ascii="宋体" w:hAnsi="宋体" w:eastAsia="宋体" w:cs="宋体"/>
          <w:color w:val="auto"/>
          <w:spacing w:val="0"/>
          <w:highlight w:val="none"/>
        </w:rPr>
      </w:pPr>
    </w:p>
    <w:p w14:paraId="30DE9106">
      <w:pPr>
        <w:pStyle w:val="6"/>
        <w:keepNext w:val="0"/>
        <w:keepLines w:val="0"/>
        <w:pageBreakBefore w:val="0"/>
        <w:kinsoku/>
        <w:wordWrap w:val="0"/>
        <w:overflowPunct/>
        <w:topLinePunct/>
        <w:bidi w:val="0"/>
        <w:spacing w:line="277" w:lineRule="auto"/>
        <w:rPr>
          <w:rFonts w:hint="eastAsia" w:ascii="宋体" w:hAnsi="宋体" w:eastAsia="宋体" w:cs="宋体"/>
          <w:color w:val="auto"/>
          <w:spacing w:val="0"/>
          <w:highlight w:val="none"/>
        </w:rPr>
      </w:pPr>
    </w:p>
    <w:p w14:paraId="7F30ECE9">
      <w:pPr>
        <w:keepNext w:val="0"/>
        <w:keepLines w:val="0"/>
        <w:pageBreakBefore w:val="0"/>
        <w:kinsoku/>
        <w:wordWrap w:val="0"/>
        <w:overflowPunct/>
        <w:topLinePunct/>
        <w:bidi w:val="0"/>
        <w:spacing w:before="78" w:line="219" w:lineRule="auto"/>
        <w:ind w:left="3123"/>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  标  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31AAA0EC">
      <w:pPr>
        <w:pStyle w:val="6"/>
        <w:keepNext w:val="0"/>
        <w:keepLines w:val="0"/>
        <w:pageBreakBefore w:val="0"/>
        <w:kinsoku/>
        <w:wordWrap w:val="0"/>
        <w:overflowPunct/>
        <w:topLinePunct/>
        <w:bidi w:val="0"/>
        <w:spacing w:line="317" w:lineRule="auto"/>
        <w:jc w:val="right"/>
        <w:rPr>
          <w:rFonts w:hint="eastAsia" w:ascii="宋体" w:hAnsi="宋体" w:eastAsia="宋体" w:cs="宋体"/>
          <w:color w:val="auto"/>
          <w:spacing w:val="0"/>
          <w:highlight w:val="none"/>
        </w:rPr>
      </w:pPr>
    </w:p>
    <w:p w14:paraId="2CE36F57">
      <w:pPr>
        <w:pStyle w:val="6"/>
        <w:keepNext w:val="0"/>
        <w:keepLines w:val="0"/>
        <w:pageBreakBefore w:val="0"/>
        <w:kinsoku/>
        <w:wordWrap w:val="0"/>
        <w:overflowPunct/>
        <w:topLinePunct/>
        <w:bidi w:val="0"/>
        <w:spacing w:line="317" w:lineRule="auto"/>
        <w:jc w:val="right"/>
        <w:rPr>
          <w:rFonts w:hint="eastAsia" w:ascii="宋体" w:hAnsi="宋体" w:eastAsia="宋体" w:cs="宋体"/>
          <w:color w:val="auto"/>
          <w:spacing w:val="0"/>
          <w:highlight w:val="none"/>
        </w:rPr>
      </w:pPr>
    </w:p>
    <w:p w14:paraId="722DC915">
      <w:pPr>
        <w:pStyle w:val="6"/>
        <w:keepNext w:val="0"/>
        <w:keepLines w:val="0"/>
        <w:pageBreakBefore w:val="0"/>
        <w:kinsoku/>
        <w:wordWrap w:val="0"/>
        <w:overflowPunct/>
        <w:topLinePunct/>
        <w:bidi w:val="0"/>
        <w:spacing w:line="317" w:lineRule="auto"/>
        <w:jc w:val="right"/>
        <w:rPr>
          <w:rFonts w:hint="eastAsia" w:ascii="宋体" w:hAnsi="宋体" w:eastAsia="宋体" w:cs="宋体"/>
          <w:color w:val="auto"/>
          <w:spacing w:val="0"/>
          <w:highlight w:val="none"/>
        </w:rPr>
      </w:pPr>
    </w:p>
    <w:p w14:paraId="4EEB488C">
      <w:pPr>
        <w:keepNext w:val="0"/>
        <w:keepLines w:val="0"/>
        <w:pageBreakBefore w:val="0"/>
        <w:kinsoku/>
        <w:wordWrap w:val="0"/>
        <w:overflowPunct/>
        <w:topLinePunct/>
        <w:bidi w:val="0"/>
        <w:spacing w:before="79" w:line="219" w:lineRule="auto"/>
        <w:ind w:left="3121"/>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31A4094B">
      <w:pPr>
        <w:pStyle w:val="6"/>
        <w:keepNext w:val="0"/>
        <w:keepLines w:val="0"/>
        <w:pageBreakBefore w:val="0"/>
        <w:kinsoku/>
        <w:wordWrap w:val="0"/>
        <w:overflowPunct/>
        <w:topLinePunct/>
        <w:bidi w:val="0"/>
        <w:spacing w:line="317" w:lineRule="auto"/>
        <w:jc w:val="right"/>
        <w:rPr>
          <w:rFonts w:hint="eastAsia" w:ascii="宋体" w:hAnsi="宋体" w:eastAsia="宋体" w:cs="宋体"/>
          <w:color w:val="auto"/>
          <w:spacing w:val="0"/>
          <w:highlight w:val="none"/>
        </w:rPr>
      </w:pPr>
    </w:p>
    <w:p w14:paraId="31AB3F9C">
      <w:pPr>
        <w:pStyle w:val="6"/>
        <w:keepNext w:val="0"/>
        <w:keepLines w:val="0"/>
        <w:pageBreakBefore w:val="0"/>
        <w:kinsoku/>
        <w:wordWrap w:val="0"/>
        <w:overflowPunct/>
        <w:topLinePunct/>
        <w:bidi w:val="0"/>
        <w:spacing w:line="317" w:lineRule="auto"/>
        <w:jc w:val="right"/>
        <w:rPr>
          <w:rFonts w:hint="eastAsia" w:ascii="宋体" w:hAnsi="宋体" w:eastAsia="宋体" w:cs="宋体"/>
          <w:color w:val="auto"/>
          <w:spacing w:val="0"/>
          <w:highlight w:val="none"/>
        </w:rPr>
      </w:pPr>
    </w:p>
    <w:p w14:paraId="1AC6810E">
      <w:pPr>
        <w:pStyle w:val="6"/>
        <w:keepNext w:val="0"/>
        <w:keepLines w:val="0"/>
        <w:pageBreakBefore w:val="0"/>
        <w:kinsoku/>
        <w:wordWrap w:val="0"/>
        <w:overflowPunct/>
        <w:topLinePunct/>
        <w:bidi w:val="0"/>
        <w:spacing w:line="317" w:lineRule="auto"/>
        <w:jc w:val="right"/>
        <w:rPr>
          <w:rFonts w:hint="eastAsia" w:ascii="宋体" w:hAnsi="宋体" w:eastAsia="宋体" w:cs="宋体"/>
          <w:color w:val="auto"/>
          <w:spacing w:val="0"/>
          <w:highlight w:val="none"/>
        </w:rPr>
      </w:pPr>
    </w:p>
    <w:p w14:paraId="2CA02C4D">
      <w:pPr>
        <w:keepNext w:val="0"/>
        <w:keepLines w:val="0"/>
        <w:pageBreakBefore w:val="0"/>
        <w:kinsoku/>
        <w:wordWrap w:val="0"/>
        <w:overflowPunct/>
        <w:topLinePunct/>
        <w:bidi w:val="0"/>
        <w:spacing w:before="78" w:line="219" w:lineRule="auto"/>
        <w:ind w:left="288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3BBF7585">
      <w:pPr>
        <w:pStyle w:val="6"/>
        <w:keepNext w:val="0"/>
        <w:keepLines w:val="0"/>
        <w:pageBreakBefore w:val="0"/>
        <w:kinsoku/>
        <w:wordWrap w:val="0"/>
        <w:overflowPunct/>
        <w:topLinePunct/>
        <w:bidi w:val="0"/>
        <w:spacing w:line="256" w:lineRule="auto"/>
        <w:jc w:val="right"/>
        <w:rPr>
          <w:rFonts w:hint="eastAsia" w:ascii="宋体" w:hAnsi="宋体" w:eastAsia="宋体" w:cs="宋体"/>
          <w:color w:val="auto"/>
          <w:spacing w:val="0"/>
          <w:highlight w:val="none"/>
        </w:rPr>
      </w:pPr>
    </w:p>
    <w:p w14:paraId="1062E16D">
      <w:pPr>
        <w:pStyle w:val="6"/>
        <w:keepNext w:val="0"/>
        <w:keepLines w:val="0"/>
        <w:pageBreakBefore w:val="0"/>
        <w:kinsoku/>
        <w:wordWrap w:val="0"/>
        <w:overflowPunct/>
        <w:topLinePunct/>
        <w:bidi w:val="0"/>
        <w:spacing w:line="256" w:lineRule="auto"/>
        <w:jc w:val="right"/>
        <w:rPr>
          <w:rFonts w:hint="eastAsia" w:ascii="宋体" w:hAnsi="宋体" w:eastAsia="宋体" w:cs="宋体"/>
          <w:color w:val="auto"/>
          <w:spacing w:val="0"/>
          <w:highlight w:val="none"/>
        </w:rPr>
      </w:pPr>
    </w:p>
    <w:p w14:paraId="33F2716B">
      <w:pPr>
        <w:keepNext w:val="0"/>
        <w:keepLines w:val="0"/>
        <w:pageBreakBefore w:val="0"/>
        <w:kinsoku/>
        <w:wordWrap w:val="0"/>
        <w:overflowPunct/>
        <w:topLinePunct/>
        <w:bidi w:val="0"/>
        <w:spacing w:before="78" w:line="220" w:lineRule="auto"/>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0AD8B1DE">
      <w:pPr>
        <w:keepNext w:val="0"/>
        <w:keepLines w:val="0"/>
        <w:pageBreakBefore w:val="0"/>
        <w:kinsoku/>
        <w:wordWrap w:val="0"/>
        <w:overflowPunct/>
        <w:topLinePunct/>
        <w:bidi w:val="0"/>
        <w:spacing w:before="69"/>
        <w:rPr>
          <w:rFonts w:hint="eastAsia" w:ascii="宋体" w:hAnsi="宋体" w:eastAsia="宋体" w:cs="宋体"/>
          <w:color w:val="auto"/>
          <w:spacing w:val="0"/>
          <w:highlight w:val="none"/>
        </w:rPr>
      </w:pPr>
    </w:p>
    <w:p w14:paraId="4B732BAC">
      <w:pPr>
        <w:keepNext w:val="0"/>
        <w:keepLines w:val="0"/>
        <w:pageBreakBefore w:val="0"/>
        <w:kinsoku/>
        <w:wordWrap w:val="0"/>
        <w:overflowPunct/>
        <w:topLinePunct/>
        <w:bidi w:val="0"/>
        <w:spacing w:before="69"/>
        <w:rPr>
          <w:rFonts w:hint="eastAsia" w:ascii="宋体" w:hAnsi="宋体" w:eastAsia="宋体" w:cs="宋体"/>
          <w:color w:val="auto"/>
          <w:spacing w:val="0"/>
          <w:highlight w:val="none"/>
        </w:rPr>
      </w:pPr>
    </w:p>
    <w:tbl>
      <w:tblPr>
        <w:tblStyle w:val="16"/>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109F3EF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center"/>
          </w:tcPr>
          <w:p w14:paraId="59ABFB34">
            <w:pPr>
              <w:keepNext w:val="0"/>
              <w:keepLines w:val="0"/>
              <w:pageBreakBefore w:val="0"/>
              <w:widowControl/>
              <w:suppressLineNumbers w:val="0"/>
              <w:kinsoku/>
              <w:wordWrap w:val="0"/>
              <w:overflowPunct/>
              <w:topLinePunct/>
              <w:bidi w:val="0"/>
              <w:spacing w:before="78" w:beforeAutospacing="0" w:after="0" w:afterAutospacing="0" w:line="22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委托代理人身份证复印件正、反面</w:t>
            </w:r>
          </w:p>
        </w:tc>
      </w:tr>
    </w:tbl>
    <w:p w14:paraId="3FA246CF">
      <w:pPr>
        <w:pStyle w:val="6"/>
        <w:keepNext w:val="0"/>
        <w:keepLines w:val="0"/>
        <w:pageBreakBefore w:val="0"/>
        <w:kinsoku/>
        <w:wordWrap w:val="0"/>
        <w:overflowPunct/>
        <w:topLinePunct/>
        <w:bidi w:val="0"/>
        <w:rPr>
          <w:rFonts w:hint="eastAsia" w:ascii="宋体" w:hAnsi="宋体" w:eastAsia="宋体" w:cs="宋体"/>
          <w:color w:val="auto"/>
          <w:spacing w:val="0"/>
          <w:highlight w:val="none"/>
        </w:rPr>
      </w:pPr>
    </w:p>
    <w:p w14:paraId="2B96FED3">
      <w:pPr>
        <w:keepNext w:val="0"/>
        <w:keepLines w:val="0"/>
        <w:pageBreakBefore w:val="0"/>
        <w:kinsoku/>
        <w:wordWrap w:val="0"/>
        <w:overflowPunct/>
        <w:topLinePunct/>
        <w:bidi w:val="0"/>
        <w:rPr>
          <w:rFonts w:hint="eastAsia" w:ascii="宋体" w:hAnsi="宋体" w:eastAsia="宋体" w:cs="宋体"/>
          <w:color w:val="auto"/>
          <w:spacing w:val="0"/>
          <w:highlight w:val="none"/>
        </w:rPr>
        <w:sectPr>
          <w:footerReference r:id="rId15"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163C8BA8">
      <w:pPr>
        <w:keepNext w:val="0"/>
        <w:keepLines w:val="0"/>
        <w:pageBreakBefore w:val="0"/>
        <w:kinsoku/>
        <w:wordWrap w:val="0"/>
        <w:overflowPunct/>
        <w:topLinePunct/>
        <w:bidi w:val="0"/>
        <w:spacing w:before="78" w:line="220" w:lineRule="auto"/>
        <w:outlineLvl w:val="2"/>
        <w:rPr>
          <w:rFonts w:hint="eastAsia" w:ascii="宋体" w:hAnsi="宋体" w:eastAsia="宋体" w:cs="宋体"/>
          <w:b/>
          <w:bCs/>
          <w:color w:val="auto"/>
          <w:spacing w:val="0"/>
          <w:sz w:val="24"/>
          <w:szCs w:val="24"/>
          <w:highlight w:val="none"/>
        </w:rPr>
      </w:pPr>
      <w:bookmarkStart w:id="194" w:name="_Toc4199"/>
      <w:r>
        <w:rPr>
          <w:rFonts w:hint="eastAsia" w:ascii="宋体" w:hAnsi="宋体" w:eastAsia="宋体" w:cs="宋体"/>
          <w:b/>
          <w:bCs/>
          <w:color w:val="auto"/>
          <w:spacing w:val="0"/>
          <w:sz w:val="24"/>
          <w:szCs w:val="24"/>
          <w:highlight w:val="none"/>
        </w:rPr>
        <w:t>格式五 法定代表人身份证明</w:t>
      </w:r>
      <w:bookmarkEnd w:id="194"/>
    </w:p>
    <w:p w14:paraId="1D09CB5D">
      <w:pPr>
        <w:pStyle w:val="6"/>
        <w:keepNext w:val="0"/>
        <w:keepLines w:val="0"/>
        <w:pageBreakBefore w:val="0"/>
        <w:kinsoku/>
        <w:wordWrap w:val="0"/>
        <w:overflowPunct/>
        <w:topLinePunct/>
        <w:bidi w:val="0"/>
        <w:spacing w:line="350" w:lineRule="auto"/>
        <w:rPr>
          <w:rFonts w:hint="eastAsia" w:ascii="宋体" w:hAnsi="宋体" w:eastAsia="宋体" w:cs="宋体"/>
          <w:color w:val="auto"/>
          <w:spacing w:val="0"/>
          <w:highlight w:val="none"/>
        </w:rPr>
      </w:pPr>
    </w:p>
    <w:p w14:paraId="3C38A963">
      <w:pPr>
        <w:pStyle w:val="6"/>
        <w:keepNext w:val="0"/>
        <w:keepLines w:val="0"/>
        <w:pageBreakBefore w:val="0"/>
        <w:kinsoku/>
        <w:wordWrap w:val="0"/>
        <w:overflowPunct/>
        <w:topLinePunct/>
        <w:bidi w:val="0"/>
        <w:spacing w:line="350" w:lineRule="auto"/>
        <w:rPr>
          <w:rFonts w:hint="eastAsia" w:ascii="宋体" w:hAnsi="宋体" w:eastAsia="宋体" w:cs="宋体"/>
          <w:color w:val="auto"/>
          <w:spacing w:val="0"/>
          <w:highlight w:val="none"/>
        </w:rPr>
      </w:pPr>
    </w:p>
    <w:p w14:paraId="7E267A75">
      <w:pPr>
        <w:keepNext w:val="0"/>
        <w:keepLines w:val="0"/>
        <w:pageBreakBefore w:val="0"/>
        <w:kinsoku/>
        <w:wordWrap w:val="0"/>
        <w:overflowPunct/>
        <w:topLinePunct/>
        <w:bidi w:val="0"/>
        <w:spacing w:before="98" w:line="220" w:lineRule="auto"/>
        <w:ind w:left="3183"/>
        <w:rPr>
          <w:rFonts w:hint="eastAsia" w:ascii="宋体" w:hAnsi="宋体" w:eastAsia="宋体" w:cs="宋体"/>
          <w:color w:val="auto"/>
          <w:spacing w:val="0"/>
          <w:sz w:val="30"/>
          <w:szCs w:val="30"/>
          <w:highlight w:val="none"/>
        </w:rPr>
      </w:pPr>
      <w:bookmarkStart w:id="195" w:name="bookmark152"/>
      <w:bookmarkEnd w:id="195"/>
      <w:r>
        <w:rPr>
          <w:rFonts w:hint="eastAsia" w:ascii="宋体" w:hAnsi="宋体" w:eastAsia="宋体" w:cs="宋体"/>
          <w:b/>
          <w:bCs/>
          <w:color w:val="auto"/>
          <w:spacing w:val="0"/>
          <w:sz w:val="30"/>
          <w:szCs w:val="30"/>
          <w:highlight w:val="none"/>
        </w:rPr>
        <w:t>法定代表人身份证明</w:t>
      </w:r>
    </w:p>
    <w:p w14:paraId="1096AE72">
      <w:pPr>
        <w:pStyle w:val="6"/>
        <w:keepNext w:val="0"/>
        <w:keepLines w:val="0"/>
        <w:pageBreakBefore w:val="0"/>
        <w:kinsoku/>
        <w:wordWrap w:val="0"/>
        <w:overflowPunct/>
        <w:topLinePunct/>
        <w:bidi w:val="0"/>
        <w:spacing w:line="250" w:lineRule="auto"/>
        <w:rPr>
          <w:rFonts w:hint="eastAsia" w:ascii="宋体" w:hAnsi="宋体" w:eastAsia="宋体" w:cs="宋体"/>
          <w:color w:val="auto"/>
          <w:spacing w:val="0"/>
          <w:highlight w:val="none"/>
        </w:rPr>
      </w:pPr>
    </w:p>
    <w:p w14:paraId="7934116C">
      <w:pPr>
        <w:pStyle w:val="6"/>
        <w:keepNext w:val="0"/>
        <w:keepLines w:val="0"/>
        <w:pageBreakBefore w:val="0"/>
        <w:kinsoku/>
        <w:wordWrap w:val="0"/>
        <w:overflowPunct/>
        <w:topLinePunct/>
        <w:bidi w:val="0"/>
        <w:spacing w:line="250" w:lineRule="auto"/>
        <w:rPr>
          <w:rFonts w:hint="eastAsia" w:ascii="宋体" w:hAnsi="宋体" w:eastAsia="宋体" w:cs="宋体"/>
          <w:color w:val="auto"/>
          <w:spacing w:val="0"/>
          <w:highlight w:val="none"/>
        </w:rPr>
      </w:pPr>
    </w:p>
    <w:p w14:paraId="3C8BFE19">
      <w:pPr>
        <w:pStyle w:val="6"/>
        <w:keepNext w:val="0"/>
        <w:keepLines w:val="0"/>
        <w:pageBreakBefore w:val="0"/>
        <w:kinsoku/>
        <w:wordWrap w:val="0"/>
        <w:overflowPunct/>
        <w:topLinePunct/>
        <w:bidi w:val="0"/>
        <w:spacing w:line="251" w:lineRule="auto"/>
        <w:rPr>
          <w:rFonts w:hint="eastAsia" w:ascii="宋体" w:hAnsi="宋体" w:eastAsia="宋体" w:cs="宋体"/>
          <w:color w:val="auto"/>
          <w:spacing w:val="0"/>
          <w:highlight w:val="none"/>
        </w:rPr>
      </w:pPr>
    </w:p>
    <w:p w14:paraId="15D805EF">
      <w:pPr>
        <w:keepNext w:val="0"/>
        <w:keepLines w:val="0"/>
        <w:pageBreakBefore w:val="0"/>
        <w:kinsoku/>
        <w:wordWrap w:val="0"/>
        <w:overflowPunct/>
        <w:topLinePunct/>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投标人名称：</w:t>
      </w:r>
      <w:r>
        <w:rPr>
          <w:rFonts w:hint="eastAsia" w:ascii="宋体" w:hAnsi="宋体" w:eastAsia="宋体" w:cs="宋体"/>
          <w:snapToGrid w:val="0"/>
          <w:color w:val="auto"/>
          <w:spacing w:val="0"/>
          <w:kern w:val="0"/>
          <w:sz w:val="24"/>
          <w:szCs w:val="24"/>
          <w:highlight w:val="none"/>
          <w:u w:val="single"/>
        </w:rPr>
        <w:t xml:space="preserve">                  </w:t>
      </w:r>
    </w:p>
    <w:p w14:paraId="0902A4B7">
      <w:pPr>
        <w:keepNext w:val="0"/>
        <w:keepLines w:val="0"/>
        <w:pageBreakBefore w:val="0"/>
        <w:kinsoku/>
        <w:wordWrap w:val="0"/>
        <w:overflowPunct/>
        <w:topLinePunct/>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姓名：</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性别：</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年龄：</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职务：</w:t>
      </w:r>
      <w:r>
        <w:rPr>
          <w:rFonts w:hint="eastAsia" w:ascii="宋体" w:hAnsi="宋体" w:eastAsia="宋体" w:cs="宋体"/>
          <w:snapToGrid w:val="0"/>
          <w:color w:val="auto"/>
          <w:spacing w:val="0"/>
          <w:kern w:val="0"/>
          <w:sz w:val="24"/>
          <w:szCs w:val="24"/>
          <w:highlight w:val="none"/>
          <w:u w:val="single"/>
        </w:rPr>
        <w:t xml:space="preserve">           </w:t>
      </w:r>
    </w:p>
    <w:p w14:paraId="1E109701">
      <w:pPr>
        <w:keepNext w:val="0"/>
        <w:keepLines w:val="0"/>
        <w:pageBreakBefore w:val="0"/>
        <w:kinsoku/>
        <w:wordWrap w:val="0"/>
        <w:overflowPunct/>
        <w:topLinePunct/>
        <w:bidi w:val="0"/>
        <w:adjustRightInd w:val="0"/>
        <w:snapToGrid w:val="0"/>
        <w:spacing w:line="440" w:lineRule="exact"/>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系</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（投标人名称）的法定代表人。</w:t>
      </w:r>
    </w:p>
    <w:p w14:paraId="267155C5">
      <w:pPr>
        <w:keepNext w:val="0"/>
        <w:keepLines w:val="0"/>
        <w:pageBreakBefore w:val="0"/>
        <w:kinsoku/>
        <w:wordWrap w:val="0"/>
        <w:overflowPunct/>
        <w:topLinePunct/>
        <w:bidi w:val="0"/>
        <w:adjustRightInd w:val="0"/>
        <w:snapToGrid w:val="0"/>
        <w:rPr>
          <w:rFonts w:hint="eastAsia" w:ascii="宋体" w:hAnsi="宋体" w:eastAsia="宋体" w:cs="宋体"/>
          <w:snapToGrid w:val="0"/>
          <w:color w:val="auto"/>
          <w:spacing w:val="0"/>
          <w:kern w:val="0"/>
          <w:szCs w:val="21"/>
          <w:highlight w:val="none"/>
        </w:rPr>
      </w:pPr>
      <w:r>
        <w:rPr>
          <w:rFonts w:hint="eastAsia" w:ascii="宋体" w:hAnsi="宋体" w:eastAsia="宋体" w:cs="宋体"/>
          <w:snapToGrid w:val="0"/>
          <w:color w:val="auto"/>
          <w:spacing w:val="0"/>
          <w:kern w:val="0"/>
          <w:sz w:val="24"/>
          <w:szCs w:val="24"/>
          <w:highlight w:val="none"/>
        </w:rPr>
        <w:t xml:space="preserve">    特此证明。</w:t>
      </w:r>
    </w:p>
    <w:p w14:paraId="01379069">
      <w:pPr>
        <w:pStyle w:val="6"/>
        <w:keepNext w:val="0"/>
        <w:keepLines w:val="0"/>
        <w:pageBreakBefore w:val="0"/>
        <w:kinsoku/>
        <w:wordWrap w:val="0"/>
        <w:overflowPunct/>
        <w:topLinePunct/>
        <w:bidi w:val="0"/>
        <w:spacing w:line="277" w:lineRule="auto"/>
        <w:rPr>
          <w:rFonts w:hint="eastAsia" w:ascii="宋体" w:hAnsi="宋体" w:eastAsia="宋体" w:cs="宋体"/>
          <w:color w:val="auto"/>
          <w:spacing w:val="0"/>
          <w:highlight w:val="none"/>
        </w:rPr>
      </w:pPr>
    </w:p>
    <w:p w14:paraId="6930B396">
      <w:pPr>
        <w:pStyle w:val="6"/>
        <w:keepNext w:val="0"/>
        <w:keepLines w:val="0"/>
        <w:pageBreakBefore w:val="0"/>
        <w:kinsoku/>
        <w:wordWrap w:val="0"/>
        <w:overflowPunct/>
        <w:topLinePunct/>
        <w:bidi w:val="0"/>
        <w:spacing w:line="277" w:lineRule="auto"/>
        <w:rPr>
          <w:rFonts w:hint="eastAsia" w:ascii="宋体" w:hAnsi="宋体" w:eastAsia="宋体" w:cs="宋体"/>
          <w:color w:val="auto"/>
          <w:spacing w:val="0"/>
          <w:highlight w:val="none"/>
        </w:rPr>
      </w:pPr>
    </w:p>
    <w:p w14:paraId="0480ECA9">
      <w:pPr>
        <w:pStyle w:val="6"/>
        <w:keepNext w:val="0"/>
        <w:keepLines w:val="0"/>
        <w:pageBreakBefore w:val="0"/>
        <w:kinsoku/>
        <w:wordWrap w:val="0"/>
        <w:overflowPunct/>
        <w:topLinePunct/>
        <w:bidi w:val="0"/>
        <w:spacing w:line="278" w:lineRule="auto"/>
        <w:rPr>
          <w:rFonts w:hint="eastAsia" w:ascii="宋体" w:hAnsi="宋体" w:eastAsia="宋体" w:cs="宋体"/>
          <w:color w:val="auto"/>
          <w:spacing w:val="0"/>
          <w:highlight w:val="none"/>
        </w:rPr>
      </w:pPr>
    </w:p>
    <w:p w14:paraId="3D949665">
      <w:pPr>
        <w:keepNext w:val="0"/>
        <w:keepLines w:val="0"/>
        <w:pageBreakBefore w:val="0"/>
        <w:kinsoku/>
        <w:wordWrap w:val="0"/>
        <w:overflowPunct/>
        <w:topLinePunct/>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52AB469D">
      <w:pPr>
        <w:pStyle w:val="6"/>
        <w:keepNext w:val="0"/>
        <w:keepLines w:val="0"/>
        <w:pageBreakBefore w:val="0"/>
        <w:kinsoku/>
        <w:wordWrap w:val="0"/>
        <w:overflowPunct/>
        <w:topLinePunct/>
        <w:bidi w:val="0"/>
        <w:spacing w:line="317" w:lineRule="auto"/>
        <w:jc w:val="right"/>
        <w:rPr>
          <w:rFonts w:hint="eastAsia" w:ascii="宋体" w:hAnsi="宋体" w:eastAsia="宋体" w:cs="宋体"/>
          <w:color w:val="auto"/>
          <w:spacing w:val="0"/>
          <w:highlight w:val="none"/>
        </w:rPr>
      </w:pPr>
    </w:p>
    <w:p w14:paraId="5D3E6941">
      <w:pPr>
        <w:pStyle w:val="6"/>
        <w:keepNext w:val="0"/>
        <w:keepLines w:val="0"/>
        <w:pageBreakBefore w:val="0"/>
        <w:kinsoku/>
        <w:wordWrap w:val="0"/>
        <w:overflowPunct/>
        <w:topLinePunct/>
        <w:bidi w:val="0"/>
        <w:spacing w:line="317" w:lineRule="auto"/>
        <w:jc w:val="right"/>
        <w:rPr>
          <w:rFonts w:hint="eastAsia" w:ascii="宋体" w:hAnsi="宋体" w:eastAsia="宋体" w:cs="宋体"/>
          <w:color w:val="auto"/>
          <w:spacing w:val="0"/>
          <w:highlight w:val="none"/>
        </w:rPr>
      </w:pPr>
    </w:p>
    <w:p w14:paraId="7C345EA9">
      <w:pPr>
        <w:pStyle w:val="6"/>
        <w:keepNext w:val="0"/>
        <w:keepLines w:val="0"/>
        <w:pageBreakBefore w:val="0"/>
        <w:kinsoku/>
        <w:wordWrap w:val="0"/>
        <w:overflowPunct/>
        <w:topLinePunct/>
        <w:bidi w:val="0"/>
        <w:spacing w:line="317" w:lineRule="auto"/>
        <w:jc w:val="right"/>
        <w:rPr>
          <w:rFonts w:hint="eastAsia" w:ascii="宋体" w:hAnsi="宋体" w:eastAsia="宋体" w:cs="宋体"/>
          <w:color w:val="auto"/>
          <w:spacing w:val="0"/>
          <w:highlight w:val="none"/>
        </w:rPr>
      </w:pPr>
    </w:p>
    <w:p w14:paraId="437452D9">
      <w:pPr>
        <w:keepNext w:val="0"/>
        <w:keepLines w:val="0"/>
        <w:pageBreakBefore w:val="0"/>
        <w:kinsoku/>
        <w:wordWrap w:val="0"/>
        <w:overflowPunct/>
        <w:topLinePunct/>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6F368E19">
      <w:pPr>
        <w:pStyle w:val="6"/>
        <w:keepNext w:val="0"/>
        <w:keepLines w:val="0"/>
        <w:pageBreakBefore w:val="0"/>
        <w:kinsoku/>
        <w:wordWrap w:val="0"/>
        <w:overflowPunct/>
        <w:topLinePunct/>
        <w:bidi w:val="0"/>
        <w:spacing w:line="257" w:lineRule="auto"/>
        <w:jc w:val="right"/>
        <w:rPr>
          <w:rFonts w:hint="eastAsia" w:ascii="宋体" w:hAnsi="宋体" w:eastAsia="宋体" w:cs="宋体"/>
          <w:color w:val="auto"/>
          <w:spacing w:val="0"/>
          <w:highlight w:val="none"/>
        </w:rPr>
      </w:pPr>
    </w:p>
    <w:p w14:paraId="16907338">
      <w:pPr>
        <w:pStyle w:val="6"/>
        <w:keepNext w:val="0"/>
        <w:keepLines w:val="0"/>
        <w:pageBreakBefore w:val="0"/>
        <w:kinsoku/>
        <w:wordWrap w:val="0"/>
        <w:overflowPunct/>
        <w:topLinePunct/>
        <w:bidi w:val="0"/>
        <w:spacing w:line="257" w:lineRule="auto"/>
        <w:jc w:val="right"/>
        <w:rPr>
          <w:rFonts w:hint="eastAsia" w:ascii="宋体" w:hAnsi="宋体" w:eastAsia="宋体" w:cs="宋体"/>
          <w:color w:val="auto"/>
          <w:spacing w:val="0"/>
          <w:highlight w:val="none"/>
        </w:rPr>
      </w:pPr>
    </w:p>
    <w:p w14:paraId="756CB46F">
      <w:pPr>
        <w:pStyle w:val="6"/>
        <w:keepNext w:val="0"/>
        <w:keepLines w:val="0"/>
        <w:pageBreakBefore w:val="0"/>
        <w:kinsoku/>
        <w:wordWrap w:val="0"/>
        <w:overflowPunct/>
        <w:topLinePunct/>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748D3598">
      <w:pPr>
        <w:pStyle w:val="6"/>
        <w:keepNext w:val="0"/>
        <w:keepLines w:val="0"/>
        <w:pageBreakBefore w:val="0"/>
        <w:kinsoku/>
        <w:wordWrap w:val="0"/>
        <w:overflowPunct/>
        <w:topLinePunct/>
        <w:bidi w:val="0"/>
        <w:spacing w:line="254" w:lineRule="auto"/>
        <w:rPr>
          <w:rFonts w:hint="eastAsia" w:ascii="宋体" w:hAnsi="宋体" w:eastAsia="宋体" w:cs="宋体"/>
          <w:color w:val="auto"/>
          <w:spacing w:val="0"/>
          <w:highlight w:val="none"/>
        </w:rPr>
      </w:pPr>
    </w:p>
    <w:p w14:paraId="4686FBC2">
      <w:pPr>
        <w:pStyle w:val="6"/>
        <w:keepNext w:val="0"/>
        <w:keepLines w:val="0"/>
        <w:pageBreakBefore w:val="0"/>
        <w:kinsoku/>
        <w:wordWrap w:val="0"/>
        <w:overflowPunct/>
        <w:topLinePunct/>
        <w:bidi w:val="0"/>
        <w:spacing w:line="254" w:lineRule="auto"/>
        <w:rPr>
          <w:rFonts w:hint="eastAsia" w:ascii="宋体" w:hAnsi="宋体" w:eastAsia="宋体" w:cs="宋体"/>
          <w:color w:val="auto"/>
          <w:spacing w:val="0"/>
          <w:highlight w:val="none"/>
        </w:rPr>
      </w:pPr>
    </w:p>
    <w:p w14:paraId="23061FCD">
      <w:pPr>
        <w:pStyle w:val="6"/>
        <w:keepNext w:val="0"/>
        <w:keepLines w:val="0"/>
        <w:pageBreakBefore w:val="0"/>
        <w:kinsoku/>
        <w:wordWrap w:val="0"/>
        <w:overflowPunct/>
        <w:topLinePunct/>
        <w:bidi w:val="0"/>
        <w:spacing w:line="254" w:lineRule="auto"/>
        <w:rPr>
          <w:rFonts w:hint="eastAsia" w:ascii="宋体" w:hAnsi="宋体" w:eastAsia="宋体" w:cs="宋体"/>
          <w:color w:val="auto"/>
          <w:spacing w:val="0"/>
          <w:highlight w:val="none"/>
        </w:rPr>
      </w:pPr>
    </w:p>
    <w:p w14:paraId="2DF85839">
      <w:pPr>
        <w:pStyle w:val="6"/>
        <w:keepNext w:val="0"/>
        <w:keepLines w:val="0"/>
        <w:pageBreakBefore w:val="0"/>
        <w:kinsoku/>
        <w:wordWrap w:val="0"/>
        <w:overflowPunct/>
        <w:topLinePunct/>
        <w:bidi w:val="0"/>
        <w:spacing w:line="254" w:lineRule="auto"/>
        <w:rPr>
          <w:rFonts w:hint="eastAsia" w:ascii="宋体" w:hAnsi="宋体" w:eastAsia="宋体" w:cs="宋体"/>
          <w:color w:val="auto"/>
          <w:spacing w:val="0"/>
          <w:highlight w:val="none"/>
        </w:rPr>
      </w:pPr>
    </w:p>
    <w:p w14:paraId="66299545">
      <w:pPr>
        <w:pStyle w:val="6"/>
        <w:keepNext w:val="0"/>
        <w:keepLines w:val="0"/>
        <w:pageBreakBefore w:val="0"/>
        <w:kinsoku/>
        <w:wordWrap w:val="0"/>
        <w:overflowPunct/>
        <w:topLinePunct/>
        <w:bidi w:val="0"/>
        <w:spacing w:line="255" w:lineRule="auto"/>
        <w:rPr>
          <w:rFonts w:hint="eastAsia" w:ascii="宋体" w:hAnsi="宋体" w:eastAsia="宋体" w:cs="宋体"/>
          <w:color w:val="auto"/>
          <w:spacing w:val="0"/>
          <w:highlight w:val="none"/>
        </w:rPr>
      </w:pPr>
    </w:p>
    <w:p w14:paraId="513B033D">
      <w:pPr>
        <w:pStyle w:val="6"/>
        <w:keepNext w:val="0"/>
        <w:keepLines w:val="0"/>
        <w:pageBreakBefore w:val="0"/>
        <w:kinsoku/>
        <w:wordWrap w:val="0"/>
        <w:overflowPunct/>
        <w:topLinePunct/>
        <w:bidi w:val="0"/>
        <w:spacing w:line="255" w:lineRule="auto"/>
        <w:rPr>
          <w:rFonts w:hint="eastAsia" w:ascii="宋体" w:hAnsi="宋体" w:eastAsia="宋体" w:cs="宋体"/>
          <w:color w:val="auto"/>
          <w:spacing w:val="0"/>
          <w:highlight w:val="none"/>
        </w:rPr>
      </w:pPr>
    </w:p>
    <w:p w14:paraId="0C6D5395">
      <w:pPr>
        <w:pStyle w:val="6"/>
        <w:keepNext w:val="0"/>
        <w:keepLines w:val="0"/>
        <w:pageBreakBefore w:val="0"/>
        <w:kinsoku/>
        <w:wordWrap w:val="0"/>
        <w:overflowPunct/>
        <w:topLinePunct/>
        <w:bidi w:val="0"/>
        <w:spacing w:before="1" w:line="2510" w:lineRule="exact"/>
        <w:ind w:firstLine="2534"/>
        <w:rPr>
          <w:rFonts w:hint="eastAsia" w:ascii="宋体" w:hAnsi="宋体" w:eastAsia="宋体" w:cs="宋体"/>
          <w:color w:val="auto"/>
          <w:spacing w:val="0"/>
          <w:highlight w:val="none"/>
        </w:rPr>
      </w:pPr>
      <w:r>
        <w:rPr>
          <w:rFonts w:hint="eastAsia" w:ascii="宋体" w:hAnsi="宋体" w:eastAsia="宋体" w:cs="宋体"/>
          <w:color w:val="auto"/>
          <w:spacing w:val="0"/>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2"/>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68EFCEA1">
                              <w:pPr>
                                <w:spacing w:line="249" w:lineRule="auto"/>
                                <w:rPr>
                                  <w:highlight w:val="none"/>
                                </w:rPr>
                              </w:pPr>
                            </w:p>
                            <w:p w14:paraId="286E9897">
                              <w:pPr>
                                <w:spacing w:line="249" w:lineRule="auto"/>
                                <w:rPr>
                                  <w:highlight w:val="none"/>
                                </w:rPr>
                              </w:pPr>
                            </w:p>
                            <w:p w14:paraId="3220D9B3">
                              <w:pPr>
                                <w:spacing w:line="249" w:lineRule="auto"/>
                                <w:rPr>
                                  <w:highlight w:val="none"/>
                                </w:rPr>
                              </w:pPr>
                            </w:p>
                            <w:p w14:paraId="34FA1440">
                              <w:pPr>
                                <w:spacing w:line="249" w:lineRule="auto"/>
                                <w:rPr>
                                  <w:highlight w:val="none"/>
                                </w:rPr>
                              </w:pPr>
                            </w:p>
                            <w:p w14:paraId="51B45282">
                              <w:pPr>
                                <w:spacing w:before="78" w:line="220" w:lineRule="auto"/>
                                <w:jc w:val="center"/>
                                <w:rPr>
                                  <w:rFonts w:ascii="宋体" w:hAnsi="宋体" w:eastAsia="宋体" w:cs="宋体"/>
                                  <w:sz w:val="24"/>
                                  <w:szCs w:val="24"/>
                                  <w:highlight w:val="none"/>
                                </w:rPr>
                              </w:pPr>
                              <w:r>
                                <w:rPr>
                                  <w:rFonts w:hint="eastAsia" w:ascii="宋体" w:hAnsi="宋体" w:eastAsia="宋体" w:cs="宋体"/>
                                  <w:spacing w:val="-1"/>
                                  <w:sz w:val="24"/>
                                  <w:szCs w:val="24"/>
                                  <w:highlight w:val="none"/>
                                </w:rPr>
                                <w:t>法定代表人身份证复印件正、反面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2"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8EFCEA1">
                        <w:pPr>
                          <w:spacing w:line="249" w:lineRule="auto"/>
                          <w:rPr>
                            <w:highlight w:val="none"/>
                          </w:rPr>
                        </w:pPr>
                      </w:p>
                      <w:p w14:paraId="286E9897">
                        <w:pPr>
                          <w:spacing w:line="249" w:lineRule="auto"/>
                          <w:rPr>
                            <w:highlight w:val="none"/>
                          </w:rPr>
                        </w:pPr>
                      </w:p>
                      <w:p w14:paraId="3220D9B3">
                        <w:pPr>
                          <w:spacing w:line="249" w:lineRule="auto"/>
                          <w:rPr>
                            <w:highlight w:val="none"/>
                          </w:rPr>
                        </w:pPr>
                      </w:p>
                      <w:p w14:paraId="34FA1440">
                        <w:pPr>
                          <w:spacing w:line="249" w:lineRule="auto"/>
                          <w:rPr>
                            <w:highlight w:val="none"/>
                          </w:rPr>
                        </w:pPr>
                      </w:p>
                      <w:p w14:paraId="51B45282">
                        <w:pPr>
                          <w:spacing w:before="78" w:line="220" w:lineRule="auto"/>
                          <w:jc w:val="center"/>
                          <w:rPr>
                            <w:rFonts w:ascii="宋体" w:hAnsi="宋体" w:eastAsia="宋体" w:cs="宋体"/>
                            <w:sz w:val="24"/>
                            <w:szCs w:val="24"/>
                            <w:highlight w:val="none"/>
                          </w:rPr>
                        </w:pPr>
                        <w:r>
                          <w:rPr>
                            <w:rFonts w:hint="eastAsia" w:ascii="宋体" w:hAnsi="宋体" w:eastAsia="宋体" w:cs="宋体"/>
                            <w:spacing w:val="-1"/>
                            <w:sz w:val="24"/>
                            <w:szCs w:val="24"/>
                            <w:highlight w:val="none"/>
                          </w:rPr>
                          <w:t>法定代表人身份证复印件正、反面</w:t>
                        </w:r>
                      </w:p>
                    </w:txbxContent>
                  </v:textbox>
                </v:shape>
                <w10:wrap type="none"/>
                <w10:anchorlock/>
              </v:group>
            </w:pict>
          </mc:Fallback>
        </mc:AlternateContent>
      </w:r>
    </w:p>
    <w:p w14:paraId="79228972">
      <w:pPr>
        <w:keepNext w:val="0"/>
        <w:keepLines w:val="0"/>
        <w:pageBreakBefore w:val="0"/>
        <w:kinsoku/>
        <w:wordWrap w:val="0"/>
        <w:overflowPunct/>
        <w:topLinePunct/>
        <w:bidi w:val="0"/>
        <w:spacing w:line="2510" w:lineRule="exact"/>
        <w:rPr>
          <w:rFonts w:hint="eastAsia" w:ascii="宋体" w:hAnsi="宋体" w:eastAsia="宋体" w:cs="宋体"/>
          <w:color w:val="auto"/>
          <w:spacing w:val="0"/>
          <w:highlight w:val="none"/>
        </w:rPr>
        <w:sectPr>
          <w:footerReference r:id="rId16"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5A847C97">
      <w:pPr>
        <w:keepNext w:val="0"/>
        <w:keepLines w:val="0"/>
        <w:pageBreakBefore w:val="0"/>
        <w:kinsoku/>
        <w:wordWrap w:val="0"/>
        <w:overflowPunct/>
        <w:topLinePunct/>
        <w:bidi w:val="0"/>
        <w:spacing w:before="78" w:line="220" w:lineRule="auto"/>
        <w:outlineLvl w:val="2"/>
        <w:rPr>
          <w:rFonts w:hint="eastAsia" w:ascii="宋体" w:hAnsi="宋体" w:eastAsia="宋体" w:cs="宋体"/>
          <w:b/>
          <w:bCs/>
          <w:color w:val="auto"/>
          <w:spacing w:val="0"/>
          <w:sz w:val="24"/>
          <w:szCs w:val="24"/>
          <w:highlight w:val="none"/>
          <w:lang w:eastAsia="zh-CN"/>
        </w:rPr>
      </w:pPr>
      <w:bookmarkStart w:id="196" w:name="_Toc7003"/>
      <w:r>
        <w:rPr>
          <w:rFonts w:hint="eastAsia" w:ascii="宋体" w:hAnsi="宋体" w:eastAsia="宋体" w:cs="宋体"/>
          <w:b/>
          <w:bCs/>
          <w:color w:val="auto"/>
          <w:spacing w:val="0"/>
          <w:sz w:val="24"/>
          <w:szCs w:val="24"/>
          <w:highlight w:val="none"/>
        </w:rPr>
        <w:t>格式六 联合体协议书</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如有</w:t>
      </w:r>
      <w:r>
        <w:rPr>
          <w:rFonts w:hint="eastAsia" w:ascii="宋体" w:hAnsi="宋体" w:eastAsia="宋体" w:cs="宋体"/>
          <w:b/>
          <w:bCs/>
          <w:color w:val="auto"/>
          <w:spacing w:val="0"/>
          <w:sz w:val="24"/>
          <w:szCs w:val="24"/>
          <w:highlight w:val="none"/>
          <w:lang w:eastAsia="zh-CN"/>
        </w:rPr>
        <w:t>）</w:t>
      </w:r>
      <w:bookmarkEnd w:id="196"/>
    </w:p>
    <w:p w14:paraId="6B344F87">
      <w:pPr>
        <w:keepNext w:val="0"/>
        <w:keepLines w:val="0"/>
        <w:pageBreakBefore w:val="0"/>
        <w:kinsoku/>
        <w:wordWrap w:val="0"/>
        <w:overflowPunct/>
        <w:topLinePunct/>
        <w:bidi w:val="0"/>
        <w:spacing w:before="98" w:line="219" w:lineRule="auto"/>
        <w:ind w:left="3638"/>
        <w:rPr>
          <w:rFonts w:hint="eastAsia" w:ascii="宋体" w:hAnsi="宋体" w:eastAsia="宋体" w:cs="宋体"/>
          <w:color w:val="auto"/>
          <w:spacing w:val="0"/>
          <w:sz w:val="30"/>
          <w:szCs w:val="30"/>
          <w:highlight w:val="none"/>
          <w:lang w:eastAsia="zh-CN"/>
        </w:rPr>
      </w:pPr>
      <w:bookmarkStart w:id="197" w:name="bookmark153"/>
      <w:bookmarkEnd w:id="197"/>
      <w:r>
        <w:rPr>
          <w:rFonts w:hint="eastAsia" w:ascii="宋体" w:hAnsi="宋体" w:eastAsia="宋体" w:cs="宋体"/>
          <w:b/>
          <w:bCs/>
          <w:color w:val="auto"/>
          <w:spacing w:val="0"/>
          <w:sz w:val="30"/>
          <w:szCs w:val="30"/>
          <w:highlight w:val="none"/>
        </w:rPr>
        <w:t>联合体协议书</w:t>
      </w:r>
    </w:p>
    <w:p w14:paraId="56BEAD94">
      <w:pPr>
        <w:pStyle w:val="6"/>
        <w:keepNext w:val="0"/>
        <w:keepLines w:val="0"/>
        <w:pageBreakBefore w:val="0"/>
        <w:widowControl/>
        <w:kinsoku/>
        <w:wordWrap w:val="0"/>
        <w:overflowPunct/>
        <w:topLinePunct/>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26D8405E">
      <w:pPr>
        <w:keepNext w:val="0"/>
        <w:keepLines w:val="0"/>
        <w:pageBreakBefore w:val="0"/>
        <w:widowControl/>
        <w:kinsoku/>
        <w:wordWrap w:val="0"/>
        <w:overflowPunct/>
        <w:topLinePunct/>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牵头人名称： </w:t>
      </w:r>
    </w:p>
    <w:p w14:paraId="5E9A875F">
      <w:pPr>
        <w:keepNext w:val="0"/>
        <w:keepLines w:val="0"/>
        <w:pageBreakBefore w:val="0"/>
        <w:widowControl/>
        <w:kinsoku/>
        <w:wordWrap w:val="0"/>
        <w:overflowPunct/>
        <w:topLinePunct/>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28564243">
      <w:pPr>
        <w:keepNext w:val="0"/>
        <w:keepLines w:val="0"/>
        <w:pageBreakBefore w:val="0"/>
        <w:widowControl/>
        <w:kinsoku/>
        <w:wordWrap w:val="0"/>
        <w:overflowPunct/>
        <w:topLinePunct/>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3BFB5B4B">
      <w:pPr>
        <w:keepNext w:val="0"/>
        <w:keepLines w:val="0"/>
        <w:pageBreakBefore w:val="0"/>
        <w:kinsoku/>
        <w:wordWrap w:val="0"/>
        <w:overflowPunct/>
        <w:topLinePunct/>
        <w:bidi w:val="0"/>
        <w:outlineLvl w:val="9"/>
        <w:rPr>
          <w:rFonts w:hint="eastAsia" w:ascii="宋体" w:hAnsi="宋体" w:eastAsia="宋体" w:cs="宋体"/>
          <w:color w:val="auto"/>
          <w:spacing w:val="0"/>
          <w:highlight w:val="none"/>
        </w:rPr>
      </w:pPr>
    </w:p>
    <w:p w14:paraId="374E03E9">
      <w:pPr>
        <w:keepNext w:val="0"/>
        <w:keepLines w:val="0"/>
        <w:pageBreakBefore w:val="0"/>
        <w:widowControl/>
        <w:kinsoku/>
        <w:wordWrap w:val="0"/>
        <w:overflowPunct/>
        <w:topLinePunct/>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成员二名称： </w:t>
      </w:r>
    </w:p>
    <w:p w14:paraId="06FB8FD6">
      <w:pPr>
        <w:keepNext w:val="0"/>
        <w:keepLines w:val="0"/>
        <w:pageBreakBefore w:val="0"/>
        <w:widowControl/>
        <w:kinsoku/>
        <w:wordWrap w:val="0"/>
        <w:overflowPunct/>
        <w:topLinePunct/>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46EB8D46">
      <w:pPr>
        <w:keepNext w:val="0"/>
        <w:keepLines w:val="0"/>
        <w:pageBreakBefore w:val="0"/>
        <w:widowControl/>
        <w:kinsoku/>
        <w:wordWrap w:val="0"/>
        <w:overflowPunct/>
        <w:topLinePunct/>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7F02E40B">
      <w:pPr>
        <w:keepNext w:val="0"/>
        <w:keepLines w:val="0"/>
        <w:pageBreakBefore w:val="0"/>
        <w:widowControl/>
        <w:kinsoku/>
        <w:wordWrap w:val="0"/>
        <w:overflowPunct/>
        <w:topLinePunct/>
        <w:autoSpaceDE w:val="0"/>
        <w:autoSpaceDN w:val="0"/>
        <w:bidi w:val="0"/>
        <w:adjustRightInd w:val="0"/>
        <w:snapToGrid w:val="0"/>
        <w:spacing w:before="32" w:line="264" w:lineRule="auto"/>
        <w:ind w:left="43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p w14:paraId="468E341B">
      <w:pPr>
        <w:keepNext w:val="0"/>
        <w:keepLines w:val="0"/>
        <w:pageBreakBefore w:val="0"/>
        <w:widowControl/>
        <w:kinsoku/>
        <w:wordWrap w:val="0"/>
        <w:overflowPunct/>
        <w:topLinePunct/>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上述各成员单位经过友好协商，自愿组成联合体，共同参加（项目名称）（以下简 称“本项目 ”）的施工投标并争取赢得本项目施工承包合同（以下简称合同）。现就联 合体投标事宜订立如下协议：</w:t>
      </w:r>
    </w:p>
    <w:p w14:paraId="09D8A2A6">
      <w:pPr>
        <w:keepNext w:val="0"/>
        <w:keepLines w:val="0"/>
        <w:pageBreakBefore w:val="0"/>
        <w:widowControl/>
        <w:kinsoku/>
        <w:wordWrap w:val="0"/>
        <w:overflowPunct/>
        <w:topLinePunct/>
        <w:autoSpaceDE w:val="0"/>
        <w:autoSpaceDN w:val="0"/>
        <w:bidi w:val="0"/>
        <w:adjustRightInd w:val="0"/>
        <w:snapToGrid w:val="0"/>
        <w:spacing w:before="33" w:line="264" w:lineRule="auto"/>
        <w:ind w:left="49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．（某成员单位名称）为联合体牵头人。</w:t>
      </w:r>
    </w:p>
    <w:p w14:paraId="73A5053B">
      <w:pPr>
        <w:keepNext w:val="0"/>
        <w:keepLines w:val="0"/>
        <w:pageBreakBefore w:val="0"/>
        <w:widowControl/>
        <w:kinsoku/>
        <w:wordWrap w:val="0"/>
        <w:overflowPunct/>
        <w:topLinePunct/>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42F713E">
      <w:pPr>
        <w:keepNext w:val="0"/>
        <w:keepLines w:val="0"/>
        <w:pageBreakBefore w:val="0"/>
        <w:widowControl/>
        <w:kinsoku/>
        <w:wordWrap w:val="0"/>
        <w:overflowPunct/>
        <w:topLinePunct/>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78AFB9D9">
      <w:pPr>
        <w:keepNext w:val="0"/>
        <w:keepLines w:val="0"/>
        <w:pageBreakBefore w:val="0"/>
        <w:widowControl/>
        <w:kinsoku/>
        <w:wordWrap w:val="0"/>
        <w:overflowPunct/>
        <w:topLinePunct/>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pacing w:val="0"/>
          <w:sz w:val="24"/>
          <w:szCs w:val="24"/>
          <w:highlight w:val="none"/>
        </w:rPr>
      </w:pPr>
      <w:bookmarkStart w:id="198" w:name="_Toc32149"/>
      <w:bookmarkStart w:id="199" w:name="_Toc5365"/>
      <w:r>
        <w:rPr>
          <w:rFonts w:hint="eastAsia" w:ascii="宋体" w:hAnsi="宋体" w:eastAsia="宋体" w:cs="宋体"/>
          <w:color w:val="auto"/>
          <w:spacing w:val="0"/>
          <w:sz w:val="24"/>
          <w:szCs w:val="24"/>
          <w:highlight w:val="none"/>
        </w:rPr>
        <w:t>4 ．联合体各成员单位内部的职责分工如下：。</w:t>
      </w:r>
      <w:bookmarkEnd w:id="198"/>
      <w:bookmarkEnd w:id="199"/>
    </w:p>
    <w:p w14:paraId="118FDEA9">
      <w:pPr>
        <w:keepNext w:val="0"/>
        <w:keepLines w:val="0"/>
        <w:pageBreakBefore w:val="0"/>
        <w:widowControl/>
        <w:kinsoku/>
        <w:wordWrap w:val="0"/>
        <w:overflowPunct/>
        <w:topLinePunct/>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．投标工作和联合体在中标后工程实施过程中的有关费用按各自承担的工作量分摊。</w:t>
      </w:r>
    </w:p>
    <w:p w14:paraId="0ED1811E">
      <w:pPr>
        <w:keepNext w:val="0"/>
        <w:keepLines w:val="0"/>
        <w:pageBreakBefore w:val="0"/>
        <w:widowControl/>
        <w:kinsoku/>
        <w:wordWrap w:val="0"/>
        <w:overflowPunct/>
        <w:topLinePunct/>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．联合体中标后，本联合体协议是合同的附件，对联合体各成员单位有合同约束力。</w:t>
      </w:r>
    </w:p>
    <w:p w14:paraId="132736A1">
      <w:pPr>
        <w:keepNext w:val="0"/>
        <w:keepLines w:val="0"/>
        <w:pageBreakBefore w:val="0"/>
        <w:widowControl/>
        <w:kinsoku/>
        <w:wordWrap w:val="0"/>
        <w:overflowPunct/>
        <w:topLinePunct/>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 ．本协议书自签署之日起生效，联合体未中标或者中标时合同履行完毕后自动失效。</w:t>
      </w:r>
    </w:p>
    <w:p w14:paraId="13EEC96E">
      <w:pPr>
        <w:keepNext w:val="0"/>
        <w:keepLines w:val="0"/>
        <w:pageBreakBefore w:val="0"/>
        <w:widowControl/>
        <w:kinsoku/>
        <w:wordWrap w:val="0"/>
        <w:overflowPunct/>
        <w:topLinePunct/>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pacing w:val="0"/>
          <w:sz w:val="24"/>
          <w:szCs w:val="24"/>
          <w:highlight w:val="none"/>
        </w:rPr>
      </w:pPr>
      <w:bookmarkStart w:id="200" w:name="_Toc22612"/>
      <w:bookmarkStart w:id="201" w:name="_Toc26708"/>
      <w:r>
        <w:rPr>
          <w:rFonts w:hint="eastAsia" w:ascii="宋体" w:hAnsi="宋体" w:eastAsia="宋体" w:cs="宋体"/>
          <w:color w:val="auto"/>
          <w:spacing w:val="0"/>
          <w:sz w:val="24"/>
          <w:szCs w:val="24"/>
          <w:highlight w:val="none"/>
        </w:rPr>
        <w:t>8 ．本协议书一式份，联合体成员和招标人各执一份。</w:t>
      </w:r>
      <w:bookmarkEnd w:id="200"/>
      <w:bookmarkEnd w:id="201"/>
    </w:p>
    <w:p w14:paraId="40214FCB">
      <w:pPr>
        <w:keepNext w:val="0"/>
        <w:keepLines w:val="0"/>
        <w:pageBreakBefore w:val="0"/>
        <w:widowControl/>
        <w:kinsoku/>
        <w:wordWrap w:val="0"/>
        <w:overflowPunct/>
        <w:topLinePunct/>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bookmarkStart w:id="202" w:name="bookmark154"/>
      <w:bookmarkEnd w:id="202"/>
      <w:r>
        <w:rPr>
          <w:rFonts w:hint="eastAsia" w:ascii="宋体" w:hAnsi="宋体" w:eastAsia="宋体" w:cs="宋体"/>
          <w:color w:val="auto"/>
          <w:spacing w:val="0"/>
          <w:sz w:val="24"/>
          <w:szCs w:val="24"/>
          <w:highlight w:val="none"/>
        </w:rPr>
        <w:t>牵头人名称：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325A81A3">
      <w:pPr>
        <w:keepNext w:val="0"/>
        <w:keepLines w:val="0"/>
        <w:pageBreakBefore w:val="0"/>
        <w:widowControl/>
        <w:kinsoku/>
        <w:wordWrap w:val="0"/>
        <w:overflowPunct/>
        <w:topLinePunct/>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0D5662E1">
      <w:pPr>
        <w:keepNext w:val="0"/>
        <w:keepLines w:val="0"/>
        <w:pageBreakBefore w:val="0"/>
        <w:widowControl/>
        <w:kinsoku/>
        <w:wordWrap w:val="0"/>
        <w:overflowPunct/>
        <w:topLinePunct/>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成员二名称：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42FEA4CD">
      <w:pPr>
        <w:keepNext w:val="0"/>
        <w:keepLines w:val="0"/>
        <w:pageBreakBefore w:val="0"/>
        <w:widowControl/>
        <w:kinsoku/>
        <w:wordWrap w:val="0"/>
        <w:overflowPunct/>
        <w:topLinePunct/>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3833C08E">
      <w:pPr>
        <w:keepNext w:val="0"/>
        <w:keepLines w:val="0"/>
        <w:pageBreakBefore w:val="0"/>
        <w:kinsoku/>
        <w:wordWrap w:val="0"/>
        <w:overflowPunct/>
        <w:topLinePunct/>
        <w:bidi w:val="0"/>
        <w:spacing w:before="78" w:line="220" w:lineRule="auto"/>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68F838E">
      <w:pPr>
        <w:pStyle w:val="6"/>
        <w:keepNext w:val="0"/>
        <w:keepLines w:val="0"/>
        <w:pageBreakBefore w:val="0"/>
        <w:widowControl/>
        <w:kinsoku/>
        <w:wordWrap w:val="0"/>
        <w:overflowPunct/>
        <w:topLinePunct/>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5740CE5F">
      <w:pPr>
        <w:keepNext w:val="0"/>
        <w:keepLines w:val="0"/>
        <w:pageBreakBefore w:val="0"/>
        <w:widowControl/>
        <w:kinsoku/>
        <w:wordWrap w:val="0"/>
        <w:overflowPunct/>
        <w:topLinePunct/>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pacing w:val="0"/>
          <w:sz w:val="20"/>
          <w:szCs w:val="20"/>
          <w:highlight w:val="none"/>
        </w:rPr>
      </w:pPr>
      <w:r>
        <w:rPr>
          <w:rFonts w:hint="eastAsia" w:ascii="宋体" w:hAnsi="宋体" w:eastAsia="宋体" w:cs="宋体"/>
          <w:color w:val="auto"/>
          <w:spacing w:val="0"/>
          <w:sz w:val="20"/>
          <w:szCs w:val="20"/>
          <w:highlight w:val="none"/>
        </w:rPr>
        <w:t>说明：《联合体协议书》 由委托代理人签字或盖章的，应附法定代表人签字或盖章的授权委托书。</w:t>
      </w:r>
    </w:p>
    <w:p w14:paraId="68F920A2">
      <w:pPr>
        <w:keepNext w:val="0"/>
        <w:keepLines w:val="0"/>
        <w:pageBreakBefore w:val="0"/>
        <w:widowControl/>
        <w:kinsoku/>
        <w:wordWrap w:val="0"/>
        <w:overflowPunct/>
        <w:topLinePunct/>
        <w:autoSpaceDE w:val="0"/>
        <w:autoSpaceDN w:val="0"/>
        <w:bidi w:val="0"/>
        <w:adjustRightInd w:val="0"/>
        <w:snapToGrid w:val="0"/>
        <w:spacing w:line="264" w:lineRule="auto"/>
        <w:textAlignment w:val="baseline"/>
        <w:rPr>
          <w:rFonts w:hint="eastAsia" w:ascii="宋体" w:hAnsi="宋体" w:eastAsia="宋体" w:cs="宋体"/>
          <w:color w:val="auto"/>
          <w:spacing w:val="0"/>
          <w:sz w:val="20"/>
          <w:szCs w:val="20"/>
          <w:highlight w:val="none"/>
        </w:rPr>
        <w:sectPr>
          <w:footerReference r:id="rId17"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58158525">
      <w:pPr>
        <w:keepNext w:val="0"/>
        <w:keepLines w:val="0"/>
        <w:pageBreakBefore w:val="0"/>
        <w:kinsoku/>
        <w:wordWrap w:val="0"/>
        <w:overflowPunct/>
        <w:topLinePunct/>
        <w:bidi w:val="0"/>
        <w:spacing w:before="78" w:line="220" w:lineRule="auto"/>
        <w:outlineLvl w:val="2"/>
        <w:rPr>
          <w:rFonts w:hint="eastAsia" w:ascii="宋体" w:hAnsi="宋体" w:eastAsia="宋体" w:cs="宋体"/>
          <w:b/>
          <w:bCs/>
          <w:color w:val="auto"/>
          <w:spacing w:val="0"/>
          <w:sz w:val="24"/>
          <w:szCs w:val="24"/>
          <w:highlight w:val="none"/>
        </w:rPr>
      </w:pPr>
      <w:bookmarkStart w:id="203" w:name="_Toc13987"/>
      <w:r>
        <w:rPr>
          <w:rFonts w:hint="eastAsia" w:ascii="宋体" w:hAnsi="宋体" w:eastAsia="宋体" w:cs="宋体"/>
          <w:b/>
          <w:bCs/>
          <w:color w:val="auto"/>
          <w:spacing w:val="0"/>
          <w:sz w:val="24"/>
          <w:szCs w:val="24"/>
          <w:highlight w:val="none"/>
        </w:rPr>
        <w:t>格式七 投标人基本情况表</w:t>
      </w:r>
      <w:bookmarkEnd w:id="203"/>
    </w:p>
    <w:p w14:paraId="66C218F1">
      <w:pPr>
        <w:keepNext w:val="0"/>
        <w:keepLines w:val="0"/>
        <w:pageBreakBefore w:val="0"/>
        <w:kinsoku/>
        <w:wordWrap w:val="0"/>
        <w:overflowPunct/>
        <w:topLinePunct/>
        <w:bidi w:val="0"/>
        <w:spacing w:before="333" w:line="219" w:lineRule="auto"/>
        <w:ind w:left="3350"/>
        <w:rPr>
          <w:rFonts w:hint="eastAsia" w:ascii="宋体" w:hAnsi="宋体" w:eastAsia="宋体" w:cs="宋体"/>
          <w:color w:val="auto"/>
          <w:spacing w:val="0"/>
          <w:sz w:val="30"/>
          <w:szCs w:val="30"/>
          <w:highlight w:val="none"/>
        </w:rPr>
      </w:pPr>
      <w:r>
        <w:rPr>
          <w:rFonts w:hint="eastAsia" w:ascii="宋体" w:hAnsi="宋体" w:eastAsia="宋体" w:cs="宋体"/>
          <w:b/>
          <w:bCs/>
          <w:color w:val="auto"/>
          <w:spacing w:val="0"/>
          <w:sz w:val="30"/>
          <w:szCs w:val="30"/>
          <w:highlight w:val="none"/>
        </w:rPr>
        <w:t>投标人基本情况表</w:t>
      </w:r>
    </w:p>
    <w:p w14:paraId="0D2AAFC1">
      <w:pPr>
        <w:keepNext w:val="0"/>
        <w:keepLines w:val="0"/>
        <w:pageBreakBefore w:val="0"/>
        <w:kinsoku/>
        <w:wordWrap w:val="0"/>
        <w:overflowPunct/>
        <w:topLinePunct/>
        <w:bidi w:val="0"/>
        <w:spacing w:line="239" w:lineRule="exact"/>
        <w:rPr>
          <w:rFonts w:hint="eastAsia" w:ascii="宋体" w:hAnsi="宋体" w:eastAsia="宋体" w:cs="宋体"/>
          <w:color w:val="auto"/>
          <w:spacing w:val="0"/>
          <w:highlight w:val="none"/>
        </w:rPr>
      </w:pPr>
    </w:p>
    <w:tbl>
      <w:tblPr>
        <w:tblStyle w:val="16"/>
        <w:tblW w:w="9259"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1D385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266F4A0">
            <w:pPr>
              <w:keepNext w:val="0"/>
              <w:keepLines w:val="0"/>
              <w:pageBreakBefore w:val="0"/>
              <w:widowControl/>
              <w:suppressLineNumbers w:val="0"/>
              <w:kinsoku/>
              <w:wordWrap w:val="0"/>
              <w:overflowPunct/>
              <w:topLinePunct/>
              <w:autoSpaceDE w:val="0"/>
              <w:autoSpaceDN w:val="0"/>
              <w:bidi w:val="0"/>
              <w:adjustRightInd w:val="0"/>
              <w:snapToGrid w:val="0"/>
              <w:spacing w:before="149"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w:t>
            </w:r>
          </w:p>
        </w:tc>
        <w:tc>
          <w:tcPr>
            <w:tcW w:w="7639" w:type="dxa"/>
            <w:gridSpan w:val="8"/>
            <w:vAlign w:val="center"/>
          </w:tcPr>
          <w:p w14:paraId="5B8C4295">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72E8A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4BED60D0">
            <w:pPr>
              <w:keepNext w:val="0"/>
              <w:keepLines w:val="0"/>
              <w:pageBreakBefore w:val="0"/>
              <w:widowControl/>
              <w:suppressLineNumbers w:val="0"/>
              <w:kinsoku/>
              <w:wordWrap w:val="0"/>
              <w:overflowPunct/>
              <w:topLinePunct/>
              <w:autoSpaceDE w:val="0"/>
              <w:autoSpaceDN w:val="0"/>
              <w:bidi w:val="0"/>
              <w:adjustRightInd w:val="0"/>
              <w:snapToGrid w:val="0"/>
              <w:spacing w:before="144"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注册地址</w:t>
            </w:r>
          </w:p>
        </w:tc>
        <w:tc>
          <w:tcPr>
            <w:tcW w:w="3684" w:type="dxa"/>
            <w:gridSpan w:val="3"/>
            <w:vAlign w:val="center"/>
          </w:tcPr>
          <w:p w14:paraId="43D323D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354" w:type="dxa"/>
            <w:gridSpan w:val="2"/>
            <w:vAlign w:val="center"/>
          </w:tcPr>
          <w:p w14:paraId="42EDBA77">
            <w:pPr>
              <w:keepNext w:val="0"/>
              <w:keepLines w:val="0"/>
              <w:pageBreakBefore w:val="0"/>
              <w:widowControl/>
              <w:suppressLineNumbers w:val="0"/>
              <w:kinsoku/>
              <w:wordWrap w:val="0"/>
              <w:overflowPunct/>
              <w:topLinePunct/>
              <w:autoSpaceDE w:val="0"/>
              <w:autoSpaceDN w:val="0"/>
              <w:bidi w:val="0"/>
              <w:adjustRightInd w:val="0"/>
              <w:snapToGrid w:val="0"/>
              <w:spacing w:before="144"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邮政编码</w:t>
            </w:r>
          </w:p>
        </w:tc>
        <w:tc>
          <w:tcPr>
            <w:tcW w:w="2601" w:type="dxa"/>
            <w:gridSpan w:val="3"/>
            <w:vAlign w:val="center"/>
          </w:tcPr>
          <w:p w14:paraId="2CA6C94F">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5E0D1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restart"/>
            <w:tcBorders>
              <w:bottom w:val="nil"/>
            </w:tcBorders>
            <w:vAlign w:val="center"/>
          </w:tcPr>
          <w:p w14:paraId="52B0163A">
            <w:pPr>
              <w:keepNext w:val="0"/>
              <w:keepLines w:val="0"/>
              <w:pageBreakBefore w:val="0"/>
              <w:widowControl/>
              <w:suppressLineNumbers w:val="0"/>
              <w:kinsoku/>
              <w:wordWrap w:val="0"/>
              <w:overflowPunct/>
              <w:topLinePunct/>
              <w:autoSpaceDE w:val="0"/>
              <w:autoSpaceDN w:val="0"/>
              <w:bidi w:val="0"/>
              <w:adjustRightInd w:val="0"/>
              <w:snapToGrid w:val="0"/>
              <w:spacing w:before="65"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联系方式</w:t>
            </w:r>
          </w:p>
        </w:tc>
        <w:tc>
          <w:tcPr>
            <w:tcW w:w="975" w:type="dxa"/>
            <w:vAlign w:val="center"/>
          </w:tcPr>
          <w:p w14:paraId="035FEC65">
            <w:pPr>
              <w:keepNext w:val="0"/>
              <w:keepLines w:val="0"/>
              <w:pageBreakBefore w:val="0"/>
              <w:widowControl/>
              <w:suppressLineNumbers w:val="0"/>
              <w:kinsoku/>
              <w:wordWrap w:val="0"/>
              <w:overflowPunct/>
              <w:topLinePunct/>
              <w:autoSpaceDE w:val="0"/>
              <w:autoSpaceDN w:val="0"/>
              <w:bidi w:val="0"/>
              <w:adjustRightInd w:val="0"/>
              <w:snapToGrid w:val="0"/>
              <w:spacing w:before="145"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联系人</w:t>
            </w:r>
          </w:p>
        </w:tc>
        <w:tc>
          <w:tcPr>
            <w:tcW w:w="2709" w:type="dxa"/>
            <w:gridSpan w:val="2"/>
            <w:vAlign w:val="center"/>
          </w:tcPr>
          <w:p w14:paraId="5F06A779">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354" w:type="dxa"/>
            <w:gridSpan w:val="2"/>
            <w:vAlign w:val="center"/>
          </w:tcPr>
          <w:p w14:paraId="6E06D1A8">
            <w:pPr>
              <w:keepNext w:val="0"/>
              <w:keepLines w:val="0"/>
              <w:pageBreakBefore w:val="0"/>
              <w:widowControl/>
              <w:suppressLineNumbers w:val="0"/>
              <w:kinsoku/>
              <w:wordWrap w:val="0"/>
              <w:overflowPunct/>
              <w:topLinePunct/>
              <w:autoSpaceDE w:val="0"/>
              <w:autoSpaceDN w:val="0"/>
              <w:bidi w:val="0"/>
              <w:adjustRightInd w:val="0"/>
              <w:snapToGrid w:val="0"/>
              <w:spacing w:before="145"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  话</w:t>
            </w:r>
          </w:p>
        </w:tc>
        <w:tc>
          <w:tcPr>
            <w:tcW w:w="2601" w:type="dxa"/>
            <w:gridSpan w:val="3"/>
            <w:vAlign w:val="center"/>
          </w:tcPr>
          <w:p w14:paraId="65D589C5">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06C78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continue"/>
            <w:tcBorders>
              <w:top w:val="nil"/>
            </w:tcBorders>
            <w:vAlign w:val="center"/>
          </w:tcPr>
          <w:p w14:paraId="3121931A">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975" w:type="dxa"/>
            <w:vAlign w:val="center"/>
          </w:tcPr>
          <w:p w14:paraId="4F073B82">
            <w:pPr>
              <w:keepNext w:val="0"/>
              <w:keepLines w:val="0"/>
              <w:pageBreakBefore w:val="0"/>
              <w:widowControl/>
              <w:suppressLineNumbers w:val="0"/>
              <w:kinsoku/>
              <w:wordWrap w:val="0"/>
              <w:overflowPunct/>
              <w:topLinePunct/>
              <w:autoSpaceDE w:val="0"/>
              <w:autoSpaceDN w:val="0"/>
              <w:bidi w:val="0"/>
              <w:adjustRightInd w:val="0"/>
              <w:snapToGrid w:val="0"/>
              <w:spacing w:before="143"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传  真</w:t>
            </w:r>
          </w:p>
        </w:tc>
        <w:tc>
          <w:tcPr>
            <w:tcW w:w="2709" w:type="dxa"/>
            <w:gridSpan w:val="2"/>
            <w:vAlign w:val="center"/>
          </w:tcPr>
          <w:p w14:paraId="7B3CD09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354" w:type="dxa"/>
            <w:gridSpan w:val="2"/>
            <w:vAlign w:val="center"/>
          </w:tcPr>
          <w:p w14:paraId="0D53391C">
            <w:pPr>
              <w:keepNext w:val="0"/>
              <w:keepLines w:val="0"/>
              <w:pageBreakBefore w:val="0"/>
              <w:widowControl/>
              <w:suppressLineNumbers w:val="0"/>
              <w:kinsoku/>
              <w:wordWrap w:val="0"/>
              <w:overflowPunct/>
              <w:topLinePunct/>
              <w:autoSpaceDE w:val="0"/>
              <w:autoSpaceDN w:val="0"/>
              <w:bidi w:val="0"/>
              <w:adjustRightInd w:val="0"/>
              <w:snapToGrid w:val="0"/>
              <w:spacing w:before="144"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电子邮箱</w:t>
            </w:r>
          </w:p>
        </w:tc>
        <w:tc>
          <w:tcPr>
            <w:tcW w:w="2601" w:type="dxa"/>
            <w:gridSpan w:val="3"/>
            <w:vAlign w:val="center"/>
          </w:tcPr>
          <w:p w14:paraId="3530DC6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6151C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433F5D83">
            <w:pPr>
              <w:keepNext w:val="0"/>
              <w:keepLines w:val="0"/>
              <w:pageBreakBefore w:val="0"/>
              <w:widowControl/>
              <w:suppressLineNumbers w:val="0"/>
              <w:kinsoku/>
              <w:wordWrap w:val="0"/>
              <w:overflowPunct/>
              <w:topLinePunct/>
              <w:autoSpaceDE w:val="0"/>
              <w:autoSpaceDN w:val="0"/>
              <w:bidi w:val="0"/>
              <w:adjustRightInd w:val="0"/>
              <w:snapToGrid w:val="0"/>
              <w:spacing w:before="145"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单位性质</w:t>
            </w:r>
          </w:p>
        </w:tc>
        <w:tc>
          <w:tcPr>
            <w:tcW w:w="7639" w:type="dxa"/>
            <w:gridSpan w:val="8"/>
            <w:vAlign w:val="center"/>
          </w:tcPr>
          <w:p w14:paraId="28503679">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4969D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8010AEC">
            <w:pPr>
              <w:keepNext w:val="0"/>
              <w:keepLines w:val="0"/>
              <w:pageBreakBefore w:val="0"/>
              <w:widowControl/>
              <w:suppressLineNumbers w:val="0"/>
              <w:kinsoku/>
              <w:wordWrap w:val="0"/>
              <w:overflowPunct/>
              <w:topLinePunct/>
              <w:autoSpaceDE w:val="0"/>
              <w:autoSpaceDN w:val="0"/>
              <w:bidi w:val="0"/>
              <w:adjustRightInd w:val="0"/>
              <w:snapToGrid w:val="0"/>
              <w:spacing w:before="144"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p>
        </w:tc>
        <w:tc>
          <w:tcPr>
            <w:tcW w:w="975" w:type="dxa"/>
            <w:vAlign w:val="center"/>
          </w:tcPr>
          <w:p w14:paraId="4B2C4042">
            <w:pPr>
              <w:keepNext w:val="0"/>
              <w:keepLines w:val="0"/>
              <w:pageBreakBefore w:val="0"/>
              <w:widowControl/>
              <w:suppressLineNumbers w:val="0"/>
              <w:kinsoku/>
              <w:wordWrap w:val="0"/>
              <w:overflowPunct/>
              <w:topLinePunct/>
              <w:autoSpaceDE w:val="0"/>
              <w:autoSpaceDN w:val="0"/>
              <w:bidi w:val="0"/>
              <w:adjustRightInd w:val="0"/>
              <w:snapToGrid w:val="0"/>
              <w:spacing w:before="144"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姓名</w:t>
            </w:r>
          </w:p>
        </w:tc>
        <w:tc>
          <w:tcPr>
            <w:tcW w:w="1837" w:type="dxa"/>
            <w:vAlign w:val="center"/>
          </w:tcPr>
          <w:p w14:paraId="1EC306C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183" w:type="dxa"/>
            <w:gridSpan w:val="2"/>
            <w:vAlign w:val="center"/>
          </w:tcPr>
          <w:p w14:paraId="16DAF0DE">
            <w:pPr>
              <w:keepNext w:val="0"/>
              <w:keepLines w:val="0"/>
              <w:pageBreakBefore w:val="0"/>
              <w:widowControl/>
              <w:suppressLineNumbers w:val="0"/>
              <w:kinsoku/>
              <w:wordWrap w:val="0"/>
              <w:overflowPunct/>
              <w:topLinePunct/>
              <w:autoSpaceDE w:val="0"/>
              <w:autoSpaceDN w:val="0"/>
              <w:bidi w:val="0"/>
              <w:adjustRightInd w:val="0"/>
              <w:snapToGrid w:val="0"/>
              <w:spacing w:before="144"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技术职称</w:t>
            </w:r>
          </w:p>
        </w:tc>
        <w:tc>
          <w:tcPr>
            <w:tcW w:w="1326" w:type="dxa"/>
            <w:gridSpan w:val="2"/>
            <w:vAlign w:val="center"/>
          </w:tcPr>
          <w:p w14:paraId="3926684F">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770" w:type="dxa"/>
            <w:vAlign w:val="center"/>
          </w:tcPr>
          <w:p w14:paraId="47763EF9">
            <w:pPr>
              <w:keepNext w:val="0"/>
              <w:keepLines w:val="0"/>
              <w:pageBreakBefore w:val="0"/>
              <w:widowControl/>
              <w:suppressLineNumbers w:val="0"/>
              <w:kinsoku/>
              <w:wordWrap w:val="0"/>
              <w:overflowPunct/>
              <w:topLinePunct/>
              <w:autoSpaceDE w:val="0"/>
              <w:autoSpaceDN w:val="0"/>
              <w:bidi w:val="0"/>
              <w:adjustRightInd w:val="0"/>
              <w:snapToGrid w:val="0"/>
              <w:spacing w:before="143"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电话</w:t>
            </w:r>
          </w:p>
        </w:tc>
        <w:tc>
          <w:tcPr>
            <w:tcW w:w="1548" w:type="dxa"/>
            <w:vAlign w:val="center"/>
          </w:tcPr>
          <w:p w14:paraId="5662900B">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72FA4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80A6898">
            <w:pPr>
              <w:keepNext w:val="0"/>
              <w:keepLines w:val="0"/>
              <w:pageBreakBefore w:val="0"/>
              <w:widowControl/>
              <w:suppressLineNumbers w:val="0"/>
              <w:kinsoku/>
              <w:wordWrap w:val="0"/>
              <w:overflowPunct/>
              <w:topLinePunct/>
              <w:autoSpaceDE w:val="0"/>
              <w:autoSpaceDN w:val="0"/>
              <w:bidi w:val="0"/>
              <w:adjustRightInd w:val="0"/>
              <w:snapToGrid w:val="0"/>
              <w:spacing w:before="145"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成立时间</w:t>
            </w:r>
          </w:p>
        </w:tc>
        <w:tc>
          <w:tcPr>
            <w:tcW w:w="2812" w:type="dxa"/>
            <w:gridSpan w:val="2"/>
            <w:vAlign w:val="center"/>
          </w:tcPr>
          <w:p w14:paraId="7EE08B7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4827" w:type="dxa"/>
            <w:gridSpan w:val="6"/>
            <w:vAlign w:val="center"/>
          </w:tcPr>
          <w:p w14:paraId="00DD9BB1">
            <w:pPr>
              <w:keepNext w:val="0"/>
              <w:keepLines w:val="0"/>
              <w:pageBreakBefore w:val="0"/>
              <w:widowControl/>
              <w:suppressLineNumbers w:val="0"/>
              <w:kinsoku/>
              <w:wordWrap w:val="0"/>
              <w:overflowPunct/>
              <w:topLinePunct/>
              <w:autoSpaceDE w:val="0"/>
              <w:autoSpaceDN w:val="0"/>
              <w:bidi w:val="0"/>
              <w:adjustRightInd w:val="0"/>
              <w:snapToGrid w:val="0"/>
              <w:spacing w:before="145"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员工总人数（个）：</w:t>
            </w:r>
          </w:p>
        </w:tc>
      </w:tr>
      <w:tr w14:paraId="6A471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B06861B">
            <w:pPr>
              <w:keepNext w:val="0"/>
              <w:keepLines w:val="0"/>
              <w:pageBreakBefore w:val="0"/>
              <w:widowControl/>
              <w:suppressLineNumbers w:val="0"/>
              <w:kinsoku/>
              <w:wordWrap w:val="0"/>
              <w:overflowPunct/>
              <w:topLinePunct/>
              <w:autoSpaceDE w:val="0"/>
              <w:autoSpaceDN w:val="0"/>
              <w:bidi w:val="0"/>
              <w:adjustRightInd w:val="0"/>
              <w:snapToGrid w:val="0"/>
              <w:spacing w:before="61"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企业资质  </w:t>
            </w:r>
          </w:p>
          <w:p w14:paraId="7F7F4A4A">
            <w:pPr>
              <w:keepNext w:val="0"/>
              <w:keepLines w:val="0"/>
              <w:pageBreakBefore w:val="0"/>
              <w:widowControl/>
              <w:suppressLineNumbers w:val="0"/>
              <w:kinsoku/>
              <w:wordWrap w:val="0"/>
              <w:overflowPunct/>
              <w:topLinePunct/>
              <w:autoSpaceDE w:val="0"/>
              <w:autoSpaceDN w:val="0"/>
              <w:bidi w:val="0"/>
              <w:adjustRightInd w:val="0"/>
              <w:snapToGrid w:val="0"/>
              <w:spacing w:before="61"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类型和等级</w:t>
            </w:r>
          </w:p>
        </w:tc>
        <w:tc>
          <w:tcPr>
            <w:tcW w:w="2812" w:type="dxa"/>
            <w:gridSpan w:val="2"/>
            <w:vAlign w:val="center"/>
          </w:tcPr>
          <w:p w14:paraId="5017D11E">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183" w:type="dxa"/>
            <w:gridSpan w:val="2"/>
            <w:vMerge w:val="restart"/>
            <w:tcBorders>
              <w:bottom w:val="nil"/>
            </w:tcBorders>
            <w:vAlign w:val="center"/>
          </w:tcPr>
          <w:p w14:paraId="6BF98C2D">
            <w:pPr>
              <w:keepNext w:val="0"/>
              <w:keepLines w:val="0"/>
              <w:pageBreakBefore w:val="0"/>
              <w:widowControl/>
              <w:suppressLineNumbers w:val="0"/>
              <w:kinsoku/>
              <w:wordWrap w:val="0"/>
              <w:overflowPunct/>
              <w:topLinePunct/>
              <w:autoSpaceDE w:val="0"/>
              <w:autoSpaceDN w:val="0"/>
              <w:bidi w:val="0"/>
              <w:adjustRightInd w:val="0"/>
              <w:snapToGrid w:val="0"/>
              <w:spacing w:before="65"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其中</w:t>
            </w:r>
          </w:p>
        </w:tc>
        <w:tc>
          <w:tcPr>
            <w:tcW w:w="2096" w:type="dxa"/>
            <w:gridSpan w:val="3"/>
            <w:vAlign w:val="center"/>
          </w:tcPr>
          <w:p w14:paraId="0F0984D4">
            <w:pPr>
              <w:keepNext w:val="0"/>
              <w:keepLines w:val="0"/>
              <w:pageBreakBefore w:val="0"/>
              <w:widowControl/>
              <w:suppressLineNumbers w:val="0"/>
              <w:kinsoku/>
              <w:wordWrap w:val="0"/>
              <w:overflowPunct/>
              <w:topLinePunct/>
              <w:autoSpaceDE w:val="0"/>
              <w:autoSpaceDN w:val="0"/>
              <w:bidi w:val="0"/>
              <w:adjustRightInd w:val="0"/>
              <w:snapToGrid w:val="0"/>
              <w:spacing w:before="214"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48" w:type="dxa"/>
            <w:vAlign w:val="center"/>
          </w:tcPr>
          <w:p w14:paraId="7020BD81">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33B9D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2BAD1D5">
            <w:pPr>
              <w:keepNext w:val="0"/>
              <w:keepLines w:val="0"/>
              <w:pageBreakBefore w:val="0"/>
              <w:widowControl/>
              <w:suppressLineNumbers w:val="0"/>
              <w:kinsoku/>
              <w:wordWrap w:val="0"/>
              <w:overflowPunct/>
              <w:topLinePunct/>
              <w:autoSpaceDE w:val="0"/>
              <w:autoSpaceDN w:val="0"/>
              <w:bidi w:val="0"/>
              <w:adjustRightInd w:val="0"/>
              <w:snapToGrid w:val="0"/>
              <w:spacing w:before="146"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营业执照号</w:t>
            </w:r>
          </w:p>
        </w:tc>
        <w:tc>
          <w:tcPr>
            <w:tcW w:w="2812" w:type="dxa"/>
            <w:gridSpan w:val="2"/>
            <w:vAlign w:val="center"/>
          </w:tcPr>
          <w:p w14:paraId="701E035B">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183" w:type="dxa"/>
            <w:gridSpan w:val="2"/>
            <w:vMerge w:val="continue"/>
            <w:tcBorders>
              <w:top w:val="nil"/>
              <w:bottom w:val="nil"/>
            </w:tcBorders>
            <w:vAlign w:val="center"/>
          </w:tcPr>
          <w:p w14:paraId="33FFAA53">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2096" w:type="dxa"/>
            <w:gridSpan w:val="3"/>
            <w:vAlign w:val="center"/>
          </w:tcPr>
          <w:p w14:paraId="4A22372A">
            <w:pPr>
              <w:keepNext w:val="0"/>
              <w:keepLines w:val="0"/>
              <w:pageBreakBefore w:val="0"/>
              <w:widowControl/>
              <w:suppressLineNumbers w:val="0"/>
              <w:kinsoku/>
              <w:wordWrap w:val="0"/>
              <w:overflowPunct/>
              <w:topLinePunct/>
              <w:autoSpaceDE w:val="0"/>
              <w:autoSpaceDN w:val="0"/>
              <w:bidi w:val="0"/>
              <w:adjustRightInd w:val="0"/>
              <w:snapToGrid w:val="0"/>
              <w:spacing w:before="146"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高级职称人员</w:t>
            </w:r>
          </w:p>
        </w:tc>
        <w:tc>
          <w:tcPr>
            <w:tcW w:w="1548" w:type="dxa"/>
            <w:vAlign w:val="center"/>
          </w:tcPr>
          <w:p w14:paraId="1FCBC649">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474CF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53300AC">
            <w:pPr>
              <w:keepNext w:val="0"/>
              <w:keepLines w:val="0"/>
              <w:pageBreakBefore w:val="0"/>
              <w:widowControl/>
              <w:suppressLineNumbers w:val="0"/>
              <w:kinsoku/>
              <w:wordWrap w:val="0"/>
              <w:overflowPunct/>
              <w:topLinePunct/>
              <w:autoSpaceDE w:val="0"/>
              <w:autoSpaceDN w:val="0"/>
              <w:bidi w:val="0"/>
              <w:adjustRightInd w:val="0"/>
              <w:snapToGrid w:val="0"/>
              <w:spacing w:before="146"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注册资金</w:t>
            </w:r>
          </w:p>
        </w:tc>
        <w:tc>
          <w:tcPr>
            <w:tcW w:w="2812" w:type="dxa"/>
            <w:gridSpan w:val="2"/>
            <w:vAlign w:val="center"/>
          </w:tcPr>
          <w:p w14:paraId="13462634">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183" w:type="dxa"/>
            <w:gridSpan w:val="2"/>
            <w:vMerge w:val="continue"/>
            <w:tcBorders>
              <w:top w:val="nil"/>
              <w:bottom w:val="nil"/>
            </w:tcBorders>
            <w:vAlign w:val="center"/>
          </w:tcPr>
          <w:p w14:paraId="7A68D62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2096" w:type="dxa"/>
            <w:gridSpan w:val="3"/>
            <w:vAlign w:val="center"/>
          </w:tcPr>
          <w:p w14:paraId="16AE18B7">
            <w:pPr>
              <w:keepNext w:val="0"/>
              <w:keepLines w:val="0"/>
              <w:pageBreakBefore w:val="0"/>
              <w:widowControl/>
              <w:suppressLineNumbers w:val="0"/>
              <w:kinsoku/>
              <w:wordWrap w:val="0"/>
              <w:overflowPunct/>
              <w:topLinePunct/>
              <w:autoSpaceDE w:val="0"/>
              <w:autoSpaceDN w:val="0"/>
              <w:bidi w:val="0"/>
              <w:adjustRightInd w:val="0"/>
              <w:snapToGrid w:val="0"/>
              <w:spacing w:before="147"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中级职称人员</w:t>
            </w:r>
          </w:p>
        </w:tc>
        <w:tc>
          <w:tcPr>
            <w:tcW w:w="1548" w:type="dxa"/>
            <w:vAlign w:val="center"/>
          </w:tcPr>
          <w:p w14:paraId="207D979B">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1D1BE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7BBE8453">
            <w:pPr>
              <w:keepNext w:val="0"/>
              <w:keepLines w:val="0"/>
              <w:pageBreakBefore w:val="0"/>
              <w:widowControl/>
              <w:suppressLineNumbers w:val="0"/>
              <w:kinsoku/>
              <w:wordWrap w:val="0"/>
              <w:overflowPunct/>
              <w:topLinePunct/>
              <w:autoSpaceDE w:val="0"/>
              <w:autoSpaceDN w:val="0"/>
              <w:bidi w:val="0"/>
              <w:adjustRightInd w:val="0"/>
              <w:snapToGrid w:val="0"/>
              <w:spacing w:before="62"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基本账户 </w:t>
            </w:r>
          </w:p>
          <w:p w14:paraId="3AE11FD8">
            <w:pPr>
              <w:keepNext w:val="0"/>
              <w:keepLines w:val="0"/>
              <w:pageBreakBefore w:val="0"/>
              <w:widowControl/>
              <w:suppressLineNumbers w:val="0"/>
              <w:kinsoku/>
              <w:wordWrap w:val="0"/>
              <w:overflowPunct/>
              <w:topLinePunct/>
              <w:autoSpaceDE w:val="0"/>
              <w:autoSpaceDN w:val="0"/>
              <w:bidi w:val="0"/>
              <w:adjustRightInd w:val="0"/>
              <w:snapToGrid w:val="0"/>
              <w:spacing w:before="62"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开户银行</w:t>
            </w:r>
          </w:p>
        </w:tc>
        <w:tc>
          <w:tcPr>
            <w:tcW w:w="2812" w:type="dxa"/>
            <w:gridSpan w:val="2"/>
            <w:vAlign w:val="center"/>
          </w:tcPr>
          <w:p w14:paraId="01FE5839">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183" w:type="dxa"/>
            <w:gridSpan w:val="2"/>
            <w:vMerge w:val="continue"/>
            <w:tcBorders>
              <w:top w:val="nil"/>
              <w:bottom w:val="nil"/>
            </w:tcBorders>
            <w:vAlign w:val="center"/>
          </w:tcPr>
          <w:p w14:paraId="548E263A">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2096" w:type="dxa"/>
            <w:gridSpan w:val="3"/>
            <w:vAlign w:val="center"/>
          </w:tcPr>
          <w:p w14:paraId="4F5F7400">
            <w:pPr>
              <w:keepNext w:val="0"/>
              <w:keepLines w:val="0"/>
              <w:pageBreakBefore w:val="0"/>
              <w:widowControl/>
              <w:suppressLineNumbers w:val="0"/>
              <w:kinsoku/>
              <w:wordWrap w:val="0"/>
              <w:overflowPunct/>
              <w:topLinePunct/>
              <w:autoSpaceDE w:val="0"/>
              <w:autoSpaceDN w:val="0"/>
              <w:bidi w:val="0"/>
              <w:adjustRightInd w:val="0"/>
              <w:snapToGrid w:val="0"/>
              <w:spacing w:before="191"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初级职称人员</w:t>
            </w:r>
          </w:p>
        </w:tc>
        <w:tc>
          <w:tcPr>
            <w:tcW w:w="1548" w:type="dxa"/>
            <w:vAlign w:val="center"/>
          </w:tcPr>
          <w:p w14:paraId="4F0DABE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23447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393E077">
            <w:pPr>
              <w:keepNext w:val="0"/>
              <w:keepLines w:val="0"/>
              <w:pageBreakBefore w:val="0"/>
              <w:widowControl/>
              <w:suppressLineNumbers w:val="0"/>
              <w:kinsoku/>
              <w:wordWrap w:val="0"/>
              <w:overflowPunct/>
              <w:topLinePunct/>
              <w:autoSpaceDE w:val="0"/>
              <w:autoSpaceDN w:val="0"/>
              <w:bidi w:val="0"/>
              <w:adjustRightInd w:val="0"/>
              <w:snapToGrid w:val="0"/>
              <w:spacing w:before="62"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基本账户 </w:t>
            </w:r>
          </w:p>
          <w:p w14:paraId="7E29E56A">
            <w:pPr>
              <w:keepNext w:val="0"/>
              <w:keepLines w:val="0"/>
              <w:pageBreakBefore w:val="0"/>
              <w:widowControl/>
              <w:suppressLineNumbers w:val="0"/>
              <w:kinsoku/>
              <w:wordWrap w:val="0"/>
              <w:overflowPunct/>
              <w:topLinePunct/>
              <w:autoSpaceDE w:val="0"/>
              <w:autoSpaceDN w:val="0"/>
              <w:bidi w:val="0"/>
              <w:adjustRightInd w:val="0"/>
              <w:snapToGrid w:val="0"/>
              <w:spacing w:before="62"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银行账号</w:t>
            </w:r>
          </w:p>
        </w:tc>
        <w:tc>
          <w:tcPr>
            <w:tcW w:w="2812" w:type="dxa"/>
            <w:gridSpan w:val="2"/>
            <w:vAlign w:val="center"/>
          </w:tcPr>
          <w:p w14:paraId="3CCCE1A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183" w:type="dxa"/>
            <w:gridSpan w:val="2"/>
            <w:vMerge w:val="continue"/>
            <w:tcBorders>
              <w:top w:val="nil"/>
            </w:tcBorders>
            <w:vAlign w:val="center"/>
          </w:tcPr>
          <w:p w14:paraId="283F06C6">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2096" w:type="dxa"/>
            <w:gridSpan w:val="3"/>
            <w:vAlign w:val="center"/>
          </w:tcPr>
          <w:p w14:paraId="70ADABB9">
            <w:pPr>
              <w:keepNext w:val="0"/>
              <w:keepLines w:val="0"/>
              <w:pageBreakBefore w:val="0"/>
              <w:widowControl/>
              <w:suppressLineNumbers w:val="0"/>
              <w:kinsoku/>
              <w:wordWrap w:val="0"/>
              <w:overflowPunct/>
              <w:topLinePunct/>
              <w:autoSpaceDE w:val="0"/>
              <w:autoSpaceDN w:val="0"/>
              <w:bidi w:val="0"/>
              <w:adjustRightInd w:val="0"/>
              <w:snapToGrid w:val="0"/>
              <w:spacing w:before="211"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技术员</w:t>
            </w:r>
          </w:p>
        </w:tc>
        <w:tc>
          <w:tcPr>
            <w:tcW w:w="1548" w:type="dxa"/>
            <w:vAlign w:val="center"/>
          </w:tcPr>
          <w:p w14:paraId="142B41D9">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16EBB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7007CF0E">
            <w:pPr>
              <w:keepNext w:val="0"/>
              <w:keepLines w:val="0"/>
              <w:pageBreakBefore w:val="0"/>
              <w:widowControl/>
              <w:suppressLineNumbers w:val="0"/>
              <w:kinsoku/>
              <w:wordWrap w:val="0"/>
              <w:overflowPunct/>
              <w:topLinePunct/>
              <w:autoSpaceDE w:val="0"/>
              <w:autoSpaceDN w:val="0"/>
              <w:bidi w:val="0"/>
              <w:adjustRightInd w:val="0"/>
              <w:snapToGrid w:val="0"/>
              <w:spacing w:before="65"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经营范围</w:t>
            </w:r>
          </w:p>
        </w:tc>
        <w:tc>
          <w:tcPr>
            <w:tcW w:w="7639" w:type="dxa"/>
            <w:gridSpan w:val="8"/>
            <w:vAlign w:val="center"/>
          </w:tcPr>
          <w:p w14:paraId="4D2E014A">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1884E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49D168EB">
            <w:pPr>
              <w:keepNext w:val="0"/>
              <w:keepLines w:val="0"/>
              <w:pageBreakBefore w:val="0"/>
              <w:widowControl/>
              <w:suppressLineNumbers w:val="0"/>
              <w:kinsoku/>
              <w:wordWrap w:val="0"/>
              <w:overflowPunct/>
              <w:topLinePunct/>
              <w:autoSpaceDE w:val="0"/>
              <w:autoSpaceDN w:val="0"/>
              <w:bidi w:val="0"/>
              <w:adjustRightInd w:val="0"/>
              <w:snapToGrid w:val="0"/>
              <w:spacing w:before="65"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关联企业情况</w:t>
            </w:r>
          </w:p>
        </w:tc>
        <w:tc>
          <w:tcPr>
            <w:tcW w:w="7639" w:type="dxa"/>
            <w:gridSpan w:val="8"/>
            <w:vAlign w:val="center"/>
          </w:tcPr>
          <w:p w14:paraId="385B350D">
            <w:pPr>
              <w:keepNext w:val="0"/>
              <w:keepLines w:val="0"/>
              <w:pageBreakBefore w:val="0"/>
              <w:widowControl/>
              <w:suppressLineNumbers w:val="0"/>
              <w:kinsoku/>
              <w:wordWrap w:val="0"/>
              <w:overflowPunct/>
              <w:topLinePunct/>
              <w:autoSpaceDE w:val="0"/>
              <w:autoSpaceDN w:val="0"/>
              <w:bidi w:val="0"/>
              <w:adjustRightInd w:val="0"/>
              <w:snapToGrid w:val="0"/>
              <w:spacing w:before="168" w:beforeAutospacing="0" w:after="0" w:afterAutospacing="0" w:line="240" w:lineRule="auto"/>
              <w:ind w:left="0" w:right="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包括但不限于与投标人存在以下关系的不同单位：</w:t>
            </w:r>
          </w:p>
          <w:p w14:paraId="3F642A81">
            <w:pPr>
              <w:keepNext w:val="0"/>
              <w:keepLines w:val="0"/>
              <w:pageBreakBefore w:val="0"/>
              <w:widowControl/>
              <w:suppressLineNumbers w:val="0"/>
              <w:kinsoku/>
              <w:wordWrap w:val="0"/>
              <w:overflowPunct/>
              <w:topLinePunct/>
              <w:autoSpaceDE w:val="0"/>
              <w:autoSpaceDN w:val="0"/>
              <w:bidi w:val="0"/>
              <w:adjustRightInd w:val="0"/>
              <w:snapToGrid w:val="0"/>
              <w:spacing w:before="81" w:beforeAutospacing="0" w:after="0" w:afterAutospacing="0" w:line="240" w:lineRule="auto"/>
              <w:ind w:left="0" w:right="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．法定代表人为同一人的。</w:t>
            </w:r>
          </w:p>
          <w:p w14:paraId="112249CA">
            <w:pPr>
              <w:keepNext w:val="0"/>
              <w:keepLines w:val="0"/>
              <w:pageBreakBefore w:val="0"/>
              <w:widowControl/>
              <w:suppressLineNumbers w:val="0"/>
              <w:kinsoku/>
              <w:wordWrap w:val="0"/>
              <w:overflowPunct/>
              <w:topLinePunct/>
              <w:autoSpaceDE w:val="0"/>
              <w:autoSpaceDN w:val="0"/>
              <w:bidi w:val="0"/>
              <w:adjustRightInd w:val="0"/>
              <w:snapToGrid w:val="0"/>
              <w:spacing w:before="81" w:beforeAutospacing="0" w:after="0" w:afterAutospacing="0" w:line="240" w:lineRule="auto"/>
              <w:ind w:left="0" w:right="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．存在控股、管理关系的。</w:t>
            </w:r>
          </w:p>
          <w:p w14:paraId="4C14CEC8">
            <w:pPr>
              <w:keepNext w:val="0"/>
              <w:keepLines w:val="0"/>
              <w:pageBreakBefore w:val="0"/>
              <w:widowControl/>
              <w:suppressLineNumbers w:val="0"/>
              <w:kinsoku/>
              <w:wordWrap w:val="0"/>
              <w:overflowPunct/>
              <w:topLinePunct/>
              <w:autoSpaceDE w:val="0"/>
              <w:autoSpaceDN w:val="0"/>
              <w:bidi w:val="0"/>
              <w:adjustRightInd w:val="0"/>
              <w:snapToGrid w:val="0"/>
              <w:spacing w:before="81" w:beforeAutospacing="0" w:after="0" w:afterAutospacing="0" w:line="240" w:lineRule="auto"/>
              <w:ind w:left="0" w:right="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．主要人员相互任职的。</w:t>
            </w:r>
          </w:p>
        </w:tc>
      </w:tr>
      <w:tr w14:paraId="1E69A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B38523D">
            <w:pPr>
              <w:keepNext w:val="0"/>
              <w:keepLines w:val="0"/>
              <w:pageBreakBefore w:val="0"/>
              <w:widowControl/>
              <w:suppressLineNumbers w:val="0"/>
              <w:kinsoku/>
              <w:wordWrap w:val="0"/>
              <w:overflowPunct/>
              <w:topLinePunct/>
              <w:autoSpaceDE w:val="0"/>
              <w:autoSpaceDN w:val="0"/>
              <w:bidi w:val="0"/>
              <w:adjustRightInd w:val="0"/>
              <w:snapToGrid w:val="0"/>
              <w:spacing w:before="235"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备注</w:t>
            </w:r>
          </w:p>
        </w:tc>
        <w:tc>
          <w:tcPr>
            <w:tcW w:w="7639" w:type="dxa"/>
            <w:gridSpan w:val="8"/>
            <w:vAlign w:val="center"/>
          </w:tcPr>
          <w:p w14:paraId="0A64DCE1">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bl>
    <w:p w14:paraId="7DDE25FD">
      <w:pPr>
        <w:keepNext w:val="0"/>
        <w:keepLines w:val="0"/>
        <w:pageBreakBefore w:val="0"/>
        <w:widowControl/>
        <w:kinsoku/>
        <w:wordWrap w:val="0"/>
        <w:overflowPunct/>
        <w:topLinePunct/>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p>
    <w:p w14:paraId="6047124C">
      <w:pPr>
        <w:keepNext w:val="0"/>
        <w:keepLines w:val="0"/>
        <w:pageBreakBefore w:val="0"/>
        <w:widowControl/>
        <w:kinsoku/>
        <w:wordWrap w:val="0"/>
        <w:overflowPunct/>
        <w:topLinePunct/>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说明：</w:t>
      </w:r>
    </w:p>
    <w:p w14:paraId="0BA51C3C">
      <w:pPr>
        <w:keepNext w:val="0"/>
        <w:keepLines w:val="0"/>
        <w:pageBreakBefore w:val="0"/>
        <w:widowControl/>
        <w:kinsoku/>
        <w:wordWrap w:val="0"/>
        <w:overflowPunct/>
        <w:topLinePunct/>
        <w:autoSpaceDE w:val="0"/>
        <w:autoSpaceDN w:val="0"/>
        <w:bidi w:val="0"/>
        <w:adjustRightInd w:val="0"/>
        <w:snapToGrid w:val="0"/>
        <w:spacing w:line="30" w:lineRule="atLeast"/>
        <w:textAlignment w:val="baseline"/>
        <w:outlineLvl w:val="9"/>
        <w:rPr>
          <w:rFonts w:hint="eastAsia" w:ascii="宋体" w:hAnsi="宋体" w:eastAsia="宋体" w:cs="宋体"/>
          <w:color w:val="auto"/>
          <w:spacing w:val="0"/>
          <w:sz w:val="21"/>
          <w:szCs w:val="21"/>
          <w:highlight w:val="none"/>
        </w:rPr>
      </w:pPr>
      <w:bookmarkStart w:id="204" w:name="_Toc5131"/>
      <w:bookmarkStart w:id="205" w:name="_Toc14048"/>
      <w:r>
        <w:rPr>
          <w:rFonts w:hint="eastAsia" w:ascii="宋体" w:hAnsi="宋体" w:eastAsia="宋体" w:cs="宋体"/>
          <w:color w:val="auto"/>
          <w:spacing w:val="0"/>
          <w:sz w:val="21"/>
          <w:szCs w:val="21"/>
          <w:highlight w:val="none"/>
        </w:rPr>
        <w:t>1 ．《投标人基本情况表》后应附以下资料：</w:t>
      </w:r>
      <w:bookmarkEnd w:id="204"/>
      <w:bookmarkEnd w:id="205"/>
    </w:p>
    <w:p w14:paraId="72224C21">
      <w:pPr>
        <w:keepNext w:val="0"/>
        <w:keepLines w:val="0"/>
        <w:pageBreakBefore w:val="0"/>
        <w:widowControl/>
        <w:kinsoku/>
        <w:wordWrap w:val="0"/>
        <w:overflowPunct/>
        <w:topLinePunct/>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72499DE2">
      <w:pPr>
        <w:keepNext w:val="0"/>
        <w:keepLines w:val="0"/>
        <w:pageBreakBefore w:val="0"/>
        <w:widowControl/>
        <w:kinsoku/>
        <w:wordWrap w:val="0"/>
        <w:overflowPunct/>
        <w:topLinePunct/>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（2）</w:t>
      </w:r>
      <w:r>
        <w:rPr>
          <w:rFonts w:hint="eastAsia" w:ascii="宋体" w:hAnsi="宋体" w:eastAsia="宋体" w:cs="宋体"/>
          <w:color w:val="auto"/>
          <w:spacing w:val="0"/>
          <w:sz w:val="21"/>
          <w:szCs w:val="21"/>
          <w:highlight w:val="none"/>
        </w:rPr>
        <w:t>“进粤企业和人员诚信信息登记平台 ”企业信息情况打印页。（适用于省外建筑企业）</w:t>
      </w:r>
    </w:p>
    <w:p w14:paraId="327AC277">
      <w:pPr>
        <w:keepNext w:val="0"/>
        <w:keepLines w:val="0"/>
        <w:pageBreakBefore w:val="0"/>
        <w:widowControl/>
        <w:kinsoku/>
        <w:wordWrap w:val="0"/>
        <w:overflowPunct/>
        <w:topLinePunct/>
        <w:autoSpaceDE w:val="0"/>
        <w:autoSpaceDN w:val="0"/>
        <w:bidi w:val="0"/>
        <w:adjustRightInd w:val="0"/>
        <w:snapToGrid w:val="0"/>
        <w:spacing w:line="30" w:lineRule="atLeast"/>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（3）</w:t>
      </w:r>
      <w:r>
        <w:rPr>
          <w:rFonts w:hint="eastAsia" w:ascii="宋体" w:hAnsi="宋体" w:eastAsia="宋体" w:cs="宋体"/>
          <w:color w:val="auto"/>
          <w:spacing w:val="0"/>
          <w:sz w:val="21"/>
          <w:szCs w:val="21"/>
          <w:highlight w:val="none"/>
        </w:rPr>
        <w:t>《法人和非法人组织公共信用信息报告》（在“信用中国 ”网站企业查询界面中下载）。</w:t>
      </w:r>
    </w:p>
    <w:p w14:paraId="4C2F4870">
      <w:pPr>
        <w:keepNext w:val="0"/>
        <w:keepLines w:val="0"/>
        <w:pageBreakBefore w:val="0"/>
        <w:kinsoku/>
        <w:wordWrap w:val="0"/>
        <w:overflowPunct/>
        <w:topLinePunct/>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4271EDA">
      <w:pPr>
        <w:keepNext w:val="0"/>
        <w:keepLines w:val="0"/>
        <w:pageBreakBefore w:val="0"/>
        <w:kinsoku/>
        <w:wordWrap w:val="0"/>
        <w:overflowPunct/>
        <w:topLinePunct/>
        <w:bidi w:val="0"/>
        <w:spacing w:before="78" w:line="220" w:lineRule="auto"/>
        <w:outlineLvl w:val="2"/>
        <w:rPr>
          <w:rFonts w:hint="eastAsia" w:ascii="宋体" w:hAnsi="宋体" w:eastAsia="宋体" w:cs="宋体"/>
          <w:b/>
          <w:bCs/>
          <w:color w:val="auto"/>
          <w:spacing w:val="0"/>
          <w:sz w:val="24"/>
          <w:szCs w:val="24"/>
          <w:highlight w:val="none"/>
        </w:rPr>
      </w:pPr>
      <w:bookmarkStart w:id="206" w:name="_Toc23826"/>
      <w:r>
        <w:rPr>
          <w:rFonts w:hint="eastAsia" w:ascii="宋体" w:hAnsi="宋体" w:eastAsia="宋体" w:cs="宋体"/>
          <w:b/>
          <w:bCs/>
          <w:color w:val="auto"/>
          <w:spacing w:val="0"/>
          <w:sz w:val="24"/>
          <w:szCs w:val="24"/>
          <w:highlight w:val="none"/>
        </w:rPr>
        <w:t>格式八 项目经理简历表</w:t>
      </w:r>
      <w:bookmarkEnd w:id="206"/>
    </w:p>
    <w:p w14:paraId="4A47E7E3">
      <w:pPr>
        <w:pStyle w:val="6"/>
        <w:keepNext w:val="0"/>
        <w:keepLines w:val="0"/>
        <w:pageBreakBefore w:val="0"/>
        <w:kinsoku/>
        <w:wordWrap w:val="0"/>
        <w:overflowPunct/>
        <w:topLinePunct/>
        <w:bidi w:val="0"/>
        <w:spacing w:line="444" w:lineRule="auto"/>
        <w:rPr>
          <w:rFonts w:hint="eastAsia" w:ascii="宋体" w:hAnsi="宋体" w:eastAsia="宋体" w:cs="宋体"/>
          <w:color w:val="auto"/>
          <w:spacing w:val="0"/>
          <w:highlight w:val="none"/>
        </w:rPr>
      </w:pPr>
    </w:p>
    <w:p w14:paraId="1D04AAFF">
      <w:pPr>
        <w:keepNext w:val="0"/>
        <w:keepLines w:val="0"/>
        <w:pageBreakBefore w:val="0"/>
        <w:kinsoku/>
        <w:wordWrap w:val="0"/>
        <w:overflowPunct/>
        <w:topLinePunct/>
        <w:bidi w:val="0"/>
        <w:spacing w:before="97" w:line="219" w:lineRule="auto"/>
        <w:ind w:left="3538"/>
        <w:outlineLvl w:val="9"/>
        <w:rPr>
          <w:rFonts w:hint="eastAsia" w:ascii="宋体" w:hAnsi="宋体" w:eastAsia="宋体" w:cs="宋体"/>
          <w:color w:val="auto"/>
          <w:spacing w:val="0"/>
          <w:sz w:val="30"/>
          <w:szCs w:val="30"/>
          <w:highlight w:val="none"/>
        </w:rPr>
      </w:pPr>
      <w:bookmarkStart w:id="207" w:name="bookmark89"/>
      <w:bookmarkEnd w:id="207"/>
      <w:bookmarkStart w:id="208" w:name="bookmark156"/>
      <w:bookmarkEnd w:id="208"/>
      <w:bookmarkStart w:id="209" w:name="_Toc24489"/>
      <w:bookmarkStart w:id="210" w:name="_Toc31533"/>
      <w:r>
        <w:rPr>
          <w:rFonts w:hint="eastAsia" w:ascii="宋体" w:hAnsi="宋体" w:eastAsia="宋体" w:cs="宋体"/>
          <w:b/>
          <w:bCs/>
          <w:color w:val="auto"/>
          <w:spacing w:val="0"/>
          <w:sz w:val="30"/>
          <w:szCs w:val="30"/>
          <w:highlight w:val="none"/>
        </w:rPr>
        <w:t>项目经理简历表</w:t>
      </w:r>
      <w:bookmarkEnd w:id="209"/>
      <w:bookmarkEnd w:id="210"/>
    </w:p>
    <w:p w14:paraId="2D21A972">
      <w:pPr>
        <w:keepNext w:val="0"/>
        <w:keepLines w:val="0"/>
        <w:pageBreakBefore w:val="0"/>
        <w:kinsoku/>
        <w:wordWrap w:val="0"/>
        <w:overflowPunct/>
        <w:topLinePunct/>
        <w:bidi w:val="0"/>
        <w:spacing w:line="240" w:lineRule="exact"/>
        <w:rPr>
          <w:rFonts w:hint="eastAsia" w:ascii="宋体" w:hAnsi="宋体" w:eastAsia="宋体" w:cs="宋体"/>
          <w:color w:val="auto"/>
          <w:spacing w:val="0"/>
          <w:highlight w:val="none"/>
        </w:rPr>
      </w:pPr>
    </w:p>
    <w:tbl>
      <w:tblPr>
        <w:tblStyle w:val="16"/>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21F8D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center"/>
          </w:tcPr>
          <w:p w14:paraId="19D73CF2">
            <w:pPr>
              <w:keepNext w:val="0"/>
              <w:keepLines w:val="0"/>
              <w:pageBreakBefore w:val="0"/>
              <w:widowControl/>
              <w:suppressLineNumbers w:val="0"/>
              <w:kinsoku/>
              <w:wordWrap w:val="0"/>
              <w:overflowPunct/>
              <w:topLinePunct/>
              <w:autoSpaceDE w:val="0"/>
              <w:autoSpaceDN w:val="0"/>
              <w:bidi w:val="0"/>
              <w:adjustRightInd w:val="0"/>
              <w:snapToGrid w:val="0"/>
              <w:spacing w:before="177" w:beforeAutospacing="0" w:after="0" w:afterAutospacing="0" w:line="228"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94" w:type="dxa"/>
            <w:gridSpan w:val="2"/>
            <w:vAlign w:val="center"/>
          </w:tcPr>
          <w:p w14:paraId="0EDFF319">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2F459BE3">
            <w:pPr>
              <w:keepNext w:val="0"/>
              <w:keepLines w:val="0"/>
              <w:pageBreakBefore w:val="0"/>
              <w:widowControl/>
              <w:suppressLineNumbers w:val="0"/>
              <w:kinsoku/>
              <w:wordWrap w:val="0"/>
              <w:overflowPunct/>
              <w:topLinePunct/>
              <w:autoSpaceDE w:val="0"/>
              <w:autoSpaceDN w:val="0"/>
              <w:bidi w:val="0"/>
              <w:adjustRightInd w:val="0"/>
              <w:snapToGrid w:val="0"/>
              <w:spacing w:before="177" w:beforeAutospacing="0" w:after="0" w:afterAutospacing="0" w:line="229"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62" w:type="dxa"/>
            <w:vAlign w:val="center"/>
          </w:tcPr>
          <w:p w14:paraId="33C88B25">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051EFB0C">
            <w:pPr>
              <w:keepNext w:val="0"/>
              <w:keepLines w:val="0"/>
              <w:pageBreakBefore w:val="0"/>
              <w:widowControl/>
              <w:suppressLineNumbers w:val="0"/>
              <w:kinsoku/>
              <w:wordWrap w:val="0"/>
              <w:overflowPunct/>
              <w:topLinePunct/>
              <w:autoSpaceDE w:val="0"/>
              <w:autoSpaceDN w:val="0"/>
              <w:bidi w:val="0"/>
              <w:adjustRightInd w:val="0"/>
              <w:snapToGrid w:val="0"/>
              <w:spacing w:before="177" w:beforeAutospacing="0" w:after="0" w:afterAutospacing="0" w:line="228"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98" w:type="dxa"/>
            <w:vAlign w:val="center"/>
          </w:tcPr>
          <w:p w14:paraId="197FF1F6">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r>
      <w:tr w14:paraId="23CC0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center"/>
          </w:tcPr>
          <w:p w14:paraId="61F080D2">
            <w:pPr>
              <w:keepNext w:val="0"/>
              <w:keepLines w:val="0"/>
              <w:pageBreakBefore w:val="0"/>
              <w:widowControl/>
              <w:suppressLineNumbers w:val="0"/>
              <w:kinsoku/>
              <w:wordWrap w:val="0"/>
              <w:overflowPunct/>
              <w:topLinePunct/>
              <w:autoSpaceDE w:val="0"/>
              <w:autoSpaceDN w:val="0"/>
              <w:bidi w:val="0"/>
              <w:adjustRightInd w:val="0"/>
              <w:snapToGrid w:val="0"/>
              <w:spacing w:before="175" w:beforeAutospacing="0" w:after="0" w:afterAutospacing="0" w:line="228"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94" w:type="dxa"/>
            <w:gridSpan w:val="2"/>
            <w:vAlign w:val="center"/>
          </w:tcPr>
          <w:p w14:paraId="76FD7452">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0ACC72A6">
            <w:pPr>
              <w:keepNext w:val="0"/>
              <w:keepLines w:val="0"/>
              <w:pageBreakBefore w:val="0"/>
              <w:widowControl/>
              <w:suppressLineNumbers w:val="0"/>
              <w:kinsoku/>
              <w:wordWrap w:val="0"/>
              <w:overflowPunct/>
              <w:topLinePunct/>
              <w:autoSpaceDE w:val="0"/>
              <w:autoSpaceDN w:val="0"/>
              <w:bidi w:val="0"/>
              <w:adjustRightInd w:val="0"/>
              <w:snapToGrid w:val="0"/>
              <w:spacing w:before="174" w:beforeAutospacing="0" w:after="0" w:afterAutospacing="0" w:line="231"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62" w:type="dxa"/>
            <w:vAlign w:val="center"/>
          </w:tcPr>
          <w:p w14:paraId="147A9B3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4EF53BC8">
            <w:pPr>
              <w:keepNext w:val="0"/>
              <w:keepLines w:val="0"/>
              <w:pageBreakBefore w:val="0"/>
              <w:widowControl/>
              <w:suppressLineNumbers w:val="0"/>
              <w:kinsoku/>
              <w:wordWrap w:val="0"/>
              <w:overflowPunct/>
              <w:topLinePunct/>
              <w:autoSpaceDE w:val="0"/>
              <w:autoSpaceDN w:val="0"/>
              <w:bidi w:val="0"/>
              <w:adjustRightInd w:val="0"/>
              <w:snapToGrid w:val="0"/>
              <w:spacing w:before="175" w:beforeAutospacing="0" w:after="0" w:afterAutospacing="0" w:line="23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98" w:type="dxa"/>
            <w:vAlign w:val="center"/>
          </w:tcPr>
          <w:p w14:paraId="7F186CEC">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r>
      <w:tr w14:paraId="7A24A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center"/>
          </w:tcPr>
          <w:p w14:paraId="33DDEAF9">
            <w:pPr>
              <w:keepNext w:val="0"/>
              <w:keepLines w:val="0"/>
              <w:pageBreakBefore w:val="0"/>
              <w:widowControl/>
              <w:suppressLineNumbers w:val="0"/>
              <w:kinsoku/>
              <w:wordWrap w:val="0"/>
              <w:overflowPunct/>
              <w:topLinePunct/>
              <w:autoSpaceDE w:val="0"/>
              <w:autoSpaceDN w:val="0"/>
              <w:bidi w:val="0"/>
              <w:adjustRightInd w:val="0"/>
              <w:snapToGrid w:val="0"/>
              <w:spacing w:before="175" w:beforeAutospacing="0" w:after="0" w:afterAutospacing="0" w:line="229"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51" w:type="dxa"/>
            <w:gridSpan w:val="3"/>
            <w:vAlign w:val="center"/>
          </w:tcPr>
          <w:p w14:paraId="2E3DA0AA">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3860" w:type="dxa"/>
            <w:gridSpan w:val="2"/>
            <w:vAlign w:val="center"/>
          </w:tcPr>
          <w:p w14:paraId="36EFA0EC">
            <w:pPr>
              <w:keepNext w:val="0"/>
              <w:keepLines w:val="0"/>
              <w:pageBreakBefore w:val="0"/>
              <w:widowControl/>
              <w:suppressLineNumbers w:val="0"/>
              <w:kinsoku/>
              <w:wordWrap w:val="0"/>
              <w:overflowPunct/>
              <w:topLinePunct/>
              <w:autoSpaceDE w:val="0"/>
              <w:autoSpaceDN w:val="0"/>
              <w:bidi w:val="0"/>
              <w:adjustRightInd w:val="0"/>
              <w:snapToGrid w:val="0"/>
              <w:spacing w:before="176" w:beforeAutospacing="0" w:after="0" w:afterAutospacing="0" w:line="228"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98" w:type="dxa"/>
            <w:vAlign w:val="center"/>
          </w:tcPr>
          <w:p w14:paraId="5CBFD06E">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r>
      <w:tr w14:paraId="28E88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center"/>
          </w:tcPr>
          <w:p w14:paraId="1FF12271">
            <w:pPr>
              <w:keepNext w:val="0"/>
              <w:keepLines w:val="0"/>
              <w:pageBreakBefore w:val="0"/>
              <w:widowControl/>
              <w:suppressLineNumbers w:val="0"/>
              <w:kinsoku/>
              <w:wordWrap w:val="0"/>
              <w:overflowPunct/>
              <w:topLinePunct/>
              <w:autoSpaceDE w:val="0"/>
              <w:autoSpaceDN w:val="0"/>
              <w:bidi w:val="0"/>
              <w:adjustRightInd w:val="0"/>
              <w:snapToGrid w:val="0"/>
              <w:spacing w:before="176" w:beforeAutospacing="0" w:after="0" w:afterAutospacing="0" w:line="228"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以项目经理身份参与过的主要业绩（已完工项目）</w:t>
            </w:r>
          </w:p>
        </w:tc>
      </w:tr>
      <w:tr w14:paraId="381F0A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center"/>
          </w:tcPr>
          <w:p w14:paraId="5D2CFEF7">
            <w:pPr>
              <w:keepNext w:val="0"/>
              <w:keepLines w:val="0"/>
              <w:pageBreakBefore w:val="0"/>
              <w:widowControl/>
              <w:suppressLineNumbers w:val="0"/>
              <w:kinsoku/>
              <w:wordWrap w:val="0"/>
              <w:overflowPunct/>
              <w:topLinePunct/>
              <w:autoSpaceDE w:val="0"/>
              <w:autoSpaceDN w:val="0"/>
              <w:bidi w:val="0"/>
              <w:adjustRightInd w:val="0"/>
              <w:snapToGrid w:val="0"/>
              <w:spacing w:before="176" w:beforeAutospacing="0" w:after="0" w:afterAutospacing="0" w:line="23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24" w:type="dxa"/>
            <w:gridSpan w:val="2"/>
            <w:vAlign w:val="center"/>
          </w:tcPr>
          <w:p w14:paraId="1184CA87">
            <w:pPr>
              <w:keepNext w:val="0"/>
              <w:keepLines w:val="0"/>
              <w:pageBreakBefore w:val="0"/>
              <w:widowControl/>
              <w:suppressLineNumbers w:val="0"/>
              <w:kinsoku/>
              <w:wordWrap w:val="0"/>
              <w:overflowPunct/>
              <w:topLinePunct/>
              <w:autoSpaceDE w:val="0"/>
              <w:autoSpaceDN w:val="0"/>
              <w:bidi w:val="0"/>
              <w:adjustRightInd w:val="0"/>
              <w:snapToGrid w:val="0"/>
              <w:spacing w:before="176" w:beforeAutospacing="0" w:after="0" w:afterAutospacing="0" w:line="229"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37" w:type="dxa"/>
            <w:gridSpan w:val="2"/>
            <w:vAlign w:val="center"/>
          </w:tcPr>
          <w:p w14:paraId="3F078C68">
            <w:pPr>
              <w:keepNext w:val="0"/>
              <w:keepLines w:val="0"/>
              <w:pageBreakBefore w:val="0"/>
              <w:widowControl/>
              <w:suppressLineNumbers w:val="0"/>
              <w:kinsoku/>
              <w:wordWrap w:val="0"/>
              <w:overflowPunct/>
              <w:topLinePunct/>
              <w:autoSpaceDE w:val="0"/>
              <w:autoSpaceDN w:val="0"/>
              <w:bidi w:val="0"/>
              <w:adjustRightInd w:val="0"/>
              <w:snapToGrid w:val="0"/>
              <w:spacing w:before="176" w:beforeAutospacing="0" w:after="0" w:afterAutospacing="0" w:line="229"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62" w:type="dxa"/>
            <w:vAlign w:val="center"/>
          </w:tcPr>
          <w:p w14:paraId="0D621418">
            <w:pPr>
              <w:keepNext w:val="0"/>
              <w:keepLines w:val="0"/>
              <w:pageBreakBefore w:val="0"/>
              <w:widowControl/>
              <w:suppressLineNumbers w:val="0"/>
              <w:kinsoku/>
              <w:wordWrap w:val="0"/>
              <w:overflowPunct/>
              <w:topLinePunct/>
              <w:autoSpaceDE w:val="0"/>
              <w:autoSpaceDN w:val="0"/>
              <w:bidi w:val="0"/>
              <w:adjustRightInd w:val="0"/>
              <w:snapToGrid w:val="0"/>
              <w:spacing w:before="176" w:beforeAutospacing="0" w:after="0" w:afterAutospacing="0" w:line="228"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98" w:type="dxa"/>
            <w:vAlign w:val="center"/>
          </w:tcPr>
          <w:p w14:paraId="798B6A42">
            <w:pPr>
              <w:keepNext w:val="0"/>
              <w:keepLines w:val="0"/>
              <w:pageBreakBefore w:val="0"/>
              <w:widowControl/>
              <w:suppressLineNumbers w:val="0"/>
              <w:kinsoku/>
              <w:wordWrap w:val="0"/>
              <w:overflowPunct/>
              <w:topLinePunct/>
              <w:autoSpaceDE w:val="0"/>
              <w:autoSpaceDN w:val="0"/>
              <w:bidi w:val="0"/>
              <w:adjustRightInd w:val="0"/>
              <w:snapToGrid w:val="0"/>
              <w:spacing w:before="176" w:beforeAutospacing="0" w:after="0" w:afterAutospacing="0" w:line="228"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98" w:type="dxa"/>
            <w:vAlign w:val="center"/>
          </w:tcPr>
          <w:p w14:paraId="1540765B">
            <w:pPr>
              <w:keepNext w:val="0"/>
              <w:keepLines w:val="0"/>
              <w:pageBreakBefore w:val="0"/>
              <w:widowControl/>
              <w:suppressLineNumbers w:val="0"/>
              <w:kinsoku/>
              <w:wordWrap w:val="0"/>
              <w:overflowPunct/>
              <w:topLinePunct/>
              <w:autoSpaceDE w:val="0"/>
              <w:autoSpaceDN w:val="0"/>
              <w:bidi w:val="0"/>
              <w:adjustRightInd w:val="0"/>
              <w:snapToGrid w:val="0"/>
              <w:spacing w:before="176" w:beforeAutospacing="0" w:after="0" w:afterAutospacing="0" w:line="228"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12D73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38CC6EB6">
            <w:pPr>
              <w:keepNext w:val="0"/>
              <w:keepLines w:val="0"/>
              <w:pageBreakBefore w:val="0"/>
              <w:widowControl/>
              <w:suppressLineNumbers w:val="0"/>
              <w:kinsoku/>
              <w:wordWrap w:val="0"/>
              <w:overflowPunct/>
              <w:topLinePunct/>
              <w:autoSpaceDE w:val="0"/>
              <w:autoSpaceDN w:val="0"/>
              <w:bidi w:val="0"/>
              <w:adjustRightInd w:val="0"/>
              <w:snapToGrid w:val="0"/>
              <w:spacing w:before="214" w:beforeAutospacing="0" w:after="0" w:afterAutospacing="0" w:line="195"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24" w:type="dxa"/>
            <w:gridSpan w:val="2"/>
            <w:vAlign w:val="center"/>
          </w:tcPr>
          <w:p w14:paraId="4FDC63BB">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4630D473">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33ED822F">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110846F">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3CE9A310">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r>
      <w:tr w14:paraId="7756F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center"/>
          </w:tcPr>
          <w:p w14:paraId="59296E2B">
            <w:pPr>
              <w:keepNext w:val="0"/>
              <w:keepLines w:val="0"/>
              <w:pageBreakBefore w:val="0"/>
              <w:widowControl/>
              <w:suppressLineNumbers w:val="0"/>
              <w:kinsoku/>
              <w:wordWrap w:val="0"/>
              <w:overflowPunct/>
              <w:topLinePunct/>
              <w:autoSpaceDE w:val="0"/>
              <w:autoSpaceDN w:val="0"/>
              <w:bidi w:val="0"/>
              <w:adjustRightInd w:val="0"/>
              <w:snapToGrid w:val="0"/>
              <w:spacing w:before="213" w:beforeAutospacing="0" w:after="0" w:afterAutospacing="0" w:line="195"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24" w:type="dxa"/>
            <w:gridSpan w:val="2"/>
            <w:vAlign w:val="center"/>
          </w:tcPr>
          <w:p w14:paraId="2F23995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6CFBEBA6">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65E7DCE4">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55E8BB72">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21F7EE7C">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r>
      <w:tr w14:paraId="53C55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3016C23A">
            <w:pPr>
              <w:keepNext w:val="0"/>
              <w:keepLines w:val="0"/>
              <w:pageBreakBefore w:val="0"/>
              <w:widowControl/>
              <w:suppressLineNumbers w:val="0"/>
              <w:kinsoku/>
              <w:wordWrap w:val="0"/>
              <w:overflowPunct/>
              <w:topLinePunct/>
              <w:autoSpaceDE w:val="0"/>
              <w:autoSpaceDN w:val="0"/>
              <w:bidi w:val="0"/>
              <w:adjustRightInd w:val="0"/>
              <w:snapToGrid w:val="0"/>
              <w:spacing w:before="213" w:beforeAutospacing="0" w:after="0" w:afterAutospacing="0" w:line="195"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24" w:type="dxa"/>
            <w:gridSpan w:val="2"/>
            <w:vAlign w:val="center"/>
          </w:tcPr>
          <w:p w14:paraId="5ACBBED5">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49CBDC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6AF3BA22">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7AC7013">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4E8954DC">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r>
      <w:tr w14:paraId="49D45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center"/>
          </w:tcPr>
          <w:p w14:paraId="2F46086E">
            <w:pPr>
              <w:keepNext w:val="0"/>
              <w:keepLines w:val="0"/>
              <w:pageBreakBefore w:val="0"/>
              <w:widowControl/>
              <w:suppressLineNumbers w:val="0"/>
              <w:kinsoku/>
              <w:wordWrap w:val="0"/>
              <w:overflowPunct/>
              <w:topLinePunct/>
              <w:autoSpaceDE w:val="0"/>
              <w:autoSpaceDN w:val="0"/>
              <w:bidi w:val="0"/>
              <w:adjustRightInd w:val="0"/>
              <w:snapToGrid w:val="0"/>
              <w:spacing w:before="177" w:beforeAutospacing="0" w:after="0" w:afterAutospacing="0" w:line="325" w:lineRule="exact"/>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24" w:type="dxa"/>
            <w:gridSpan w:val="2"/>
            <w:vAlign w:val="center"/>
          </w:tcPr>
          <w:p w14:paraId="680BF2D1">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628DC15C">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0C5AC1EF">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02A7B846">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286379E2">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sz w:val="24"/>
                <w:szCs w:val="24"/>
                <w:highlight w:val="none"/>
              </w:rPr>
            </w:pPr>
          </w:p>
        </w:tc>
      </w:tr>
    </w:tbl>
    <w:p w14:paraId="01A7D383">
      <w:pPr>
        <w:pStyle w:val="6"/>
        <w:keepNext w:val="0"/>
        <w:keepLines w:val="0"/>
        <w:pageBreakBefore w:val="0"/>
        <w:kinsoku/>
        <w:wordWrap w:val="0"/>
        <w:overflowPunct/>
        <w:topLinePunct/>
        <w:bidi w:val="0"/>
        <w:spacing w:line="315" w:lineRule="auto"/>
        <w:rPr>
          <w:rFonts w:hint="eastAsia" w:ascii="宋体" w:hAnsi="宋体" w:eastAsia="宋体" w:cs="宋体"/>
          <w:color w:val="auto"/>
          <w:spacing w:val="0"/>
          <w:highlight w:val="none"/>
        </w:rPr>
      </w:pPr>
    </w:p>
    <w:p w14:paraId="4F5F5D14">
      <w:pPr>
        <w:keepNext w:val="0"/>
        <w:keepLines w:val="0"/>
        <w:pageBreakBefore w:val="0"/>
        <w:kinsoku/>
        <w:wordWrap w:val="0"/>
        <w:overflowPunct/>
        <w:topLinePunct/>
        <w:bidi w:val="0"/>
        <w:spacing w:before="78" w:line="22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color w:val="auto"/>
          <w:spacing w:val="0"/>
          <w:sz w:val="24"/>
          <w:szCs w:val="24"/>
          <w:highlight w:val="none"/>
        </w:rPr>
        <w:t>（签字）</w:t>
      </w:r>
    </w:p>
    <w:p w14:paraId="1A6A7A61">
      <w:pPr>
        <w:pStyle w:val="6"/>
        <w:keepNext w:val="0"/>
        <w:keepLines w:val="0"/>
        <w:pageBreakBefore w:val="0"/>
        <w:kinsoku/>
        <w:wordWrap w:val="0"/>
        <w:overflowPunct/>
        <w:topLinePunct/>
        <w:bidi w:val="0"/>
        <w:spacing w:line="256" w:lineRule="auto"/>
        <w:rPr>
          <w:rFonts w:hint="eastAsia" w:ascii="宋体" w:hAnsi="宋体" w:eastAsia="宋体" w:cs="宋体"/>
          <w:color w:val="auto"/>
          <w:spacing w:val="0"/>
          <w:highlight w:val="none"/>
        </w:rPr>
      </w:pPr>
    </w:p>
    <w:p w14:paraId="3394019B">
      <w:pPr>
        <w:pStyle w:val="6"/>
        <w:keepNext w:val="0"/>
        <w:keepLines w:val="0"/>
        <w:pageBreakBefore w:val="0"/>
        <w:kinsoku/>
        <w:wordWrap w:val="0"/>
        <w:overflowPunct/>
        <w:topLinePunct/>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637BD6A">
      <w:pPr>
        <w:keepNext w:val="0"/>
        <w:keepLines w:val="0"/>
        <w:pageBreakBefore w:val="0"/>
        <w:kinsoku/>
        <w:wordWrap w:val="0"/>
        <w:overflowPunct/>
        <w:topLinePunct/>
        <w:bidi w:val="0"/>
        <w:spacing w:before="78" w:line="220" w:lineRule="auto"/>
        <w:ind w:left="4226"/>
        <w:jc w:val="center"/>
        <w:rPr>
          <w:rFonts w:hint="eastAsia" w:ascii="宋体" w:hAnsi="宋体" w:eastAsia="宋体" w:cs="宋体"/>
          <w:color w:val="auto"/>
          <w:spacing w:val="0"/>
          <w:highlight w:val="none"/>
        </w:rPr>
      </w:pPr>
    </w:p>
    <w:p w14:paraId="1EF43C8D">
      <w:pPr>
        <w:pStyle w:val="6"/>
        <w:keepNext w:val="0"/>
        <w:keepLines w:val="0"/>
        <w:pageBreakBefore w:val="0"/>
        <w:kinsoku/>
        <w:wordWrap w:val="0"/>
        <w:overflowPunct/>
        <w:topLinePunct/>
        <w:bidi w:val="0"/>
        <w:spacing w:line="241" w:lineRule="auto"/>
        <w:rPr>
          <w:rFonts w:hint="eastAsia" w:ascii="宋体" w:hAnsi="宋体" w:eastAsia="宋体" w:cs="宋体"/>
          <w:color w:val="auto"/>
          <w:spacing w:val="0"/>
          <w:highlight w:val="none"/>
        </w:rPr>
      </w:pPr>
    </w:p>
    <w:p w14:paraId="467D89B2">
      <w:pPr>
        <w:keepNext w:val="0"/>
        <w:keepLines w:val="0"/>
        <w:pageBreakBefore w:val="0"/>
        <w:widowControl/>
        <w:kinsoku/>
        <w:wordWrap w:val="0"/>
        <w:overflowPunct/>
        <w:topLinePunct/>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说明：《项目经理简历表》后应附拟派项目经理以下资料：</w:t>
      </w:r>
    </w:p>
    <w:p w14:paraId="1DDF90FA">
      <w:pPr>
        <w:keepNext w:val="0"/>
        <w:keepLines w:val="0"/>
        <w:pageBreakBefore w:val="0"/>
        <w:kinsoku/>
        <w:wordWrap w:val="0"/>
        <w:overflowPunct/>
        <w:topLinePunct/>
        <w:bidi w:val="0"/>
        <w:adjustRightInd w:val="0"/>
        <w:snapToGrid w:val="0"/>
        <w:spacing w:line="360" w:lineRule="auto"/>
        <w:ind w:left="210" w:leftChars="100" w:firstLine="0" w:firstLineChars="0"/>
        <w:rPr>
          <w:rFonts w:hint="eastAsia" w:ascii="宋体" w:hAnsi="宋体" w:eastAsia="宋体" w:cs="宋体"/>
          <w:color w:val="auto"/>
          <w:spacing w:val="0"/>
          <w:sz w:val="24"/>
          <w:szCs w:val="24"/>
          <w:highlight w:val="none"/>
        </w:rPr>
      </w:pPr>
      <w:bookmarkStart w:id="211" w:name="_Toc25271"/>
      <w:bookmarkStart w:id="212" w:name="_Toc1942"/>
      <w:r>
        <w:rPr>
          <w:rFonts w:hint="eastAsia" w:ascii="宋体" w:hAnsi="宋体" w:eastAsia="宋体" w:cs="宋体"/>
          <w:color w:val="auto"/>
          <w:spacing w:val="0"/>
          <w:sz w:val="24"/>
          <w:szCs w:val="24"/>
          <w:highlight w:val="none"/>
        </w:rPr>
        <w:t>1 ．身份证彩色扫描件；</w:t>
      </w:r>
      <w:bookmarkEnd w:id="211"/>
      <w:bookmarkEnd w:id="212"/>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 xml:space="preserve"> ．建造师电子注册证书（在使用有效期内的有效电子证书）彩色扫描件</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eastAsia="zh-CN"/>
        </w:rPr>
        <w:br w:type="textWrapping"/>
      </w:r>
      <w:r>
        <w:rPr>
          <w:rFonts w:hint="eastAsia" w:ascii="宋体" w:hAnsi="宋体" w:eastAsia="宋体" w:cs="宋体"/>
          <w:color w:val="auto"/>
          <w:spacing w:val="0"/>
          <w:sz w:val="24"/>
          <w:szCs w:val="24"/>
          <w:highlight w:val="none"/>
          <w:lang w:eastAsia="zh-CN"/>
        </w:rPr>
        <w:t>3．B类安全生产考核合格证书彩色扫</w:t>
      </w:r>
      <w:r>
        <w:rPr>
          <w:rFonts w:hint="eastAsia" w:ascii="宋体" w:hAnsi="宋体" w:eastAsia="宋体" w:cs="宋体"/>
          <w:strike w:val="0"/>
          <w:dstrike w:val="0"/>
          <w:color w:val="auto"/>
          <w:spacing w:val="0"/>
          <w:sz w:val="24"/>
          <w:szCs w:val="24"/>
          <w:highlight w:val="none"/>
          <w:lang w:eastAsia="zh-CN"/>
        </w:rPr>
        <w:t>描件或广东省建筑施工企业管理人员安全生产考核系统考核合格信息彩色扫描件；</w:t>
      </w:r>
    </w:p>
    <w:p w14:paraId="20A49611">
      <w:pPr>
        <w:keepNext w:val="0"/>
        <w:keepLines w:val="0"/>
        <w:pageBreakBefore w:val="0"/>
        <w:widowControl/>
        <w:kinsoku/>
        <w:wordWrap w:val="0"/>
        <w:overflowPunct/>
        <w:topLinePunct/>
        <w:autoSpaceDE w:val="0"/>
        <w:autoSpaceDN w:val="0"/>
        <w:bidi w:val="0"/>
        <w:adjustRightInd/>
        <w:snapToGrid/>
        <w:spacing w:line="360" w:lineRule="auto"/>
        <w:ind w:left="0" w:right="0" w:firstLine="240" w:firstLineChars="1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rPr>
        <w:t xml:space="preserve"> ．在本单位缴纳社保</w:t>
      </w:r>
      <w:r>
        <w:rPr>
          <w:rFonts w:hint="eastAsia" w:ascii="宋体" w:hAnsi="宋体" w:eastAsia="宋体" w:cs="宋体"/>
          <w:color w:val="auto"/>
          <w:spacing w:val="0"/>
          <w:sz w:val="24"/>
          <w:szCs w:val="24"/>
          <w:highlight w:val="none"/>
          <w:lang w:eastAsia="zh-CN"/>
        </w:rPr>
        <w:t>的证明（至少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个月，其中必须有2026年</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lang w:val="en-US" w:eastAsia="zh-CN"/>
        </w:rPr>
        <w:t>扫描</w:t>
      </w:r>
      <w:r>
        <w:rPr>
          <w:rFonts w:hint="eastAsia" w:ascii="宋体" w:hAnsi="宋体" w:eastAsia="宋体" w:cs="宋体"/>
          <w:color w:val="auto"/>
          <w:spacing w:val="0"/>
          <w:sz w:val="24"/>
          <w:szCs w:val="24"/>
          <w:highlight w:val="none"/>
        </w:rPr>
        <w:t>件或打印件。拟派项目经理为退休返聘人员无法提供社保证明的，提供退休证和劳动合同彩色扫描件。</w:t>
      </w:r>
    </w:p>
    <w:p w14:paraId="62E0313A">
      <w:pPr>
        <w:keepNext w:val="0"/>
        <w:keepLines w:val="0"/>
        <w:pageBreakBefore w:val="0"/>
        <w:widowControl/>
        <w:kinsoku/>
        <w:wordWrap w:val="0"/>
        <w:overflowPunct/>
        <w:topLinePunct/>
        <w:autoSpaceDE w:val="0"/>
        <w:autoSpaceDN w:val="0"/>
        <w:bidi w:val="0"/>
        <w:adjustRightInd/>
        <w:snapToGrid/>
        <w:spacing w:line="360" w:lineRule="auto"/>
        <w:ind w:left="0" w:right="0" w:firstLine="240" w:firstLineChars="100"/>
        <w:textAlignment w:val="baseline"/>
        <w:rPr>
          <w:rFonts w:hint="default"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5.“进粤企业和人员诚信信息登记平台”个人（项目经理等）信息情况截图。（适用于省外建筑企业）</w:t>
      </w:r>
    </w:p>
    <w:p w14:paraId="4D629FD4">
      <w:pPr>
        <w:keepNext w:val="0"/>
        <w:keepLines w:val="0"/>
        <w:pageBreakBefore w:val="0"/>
        <w:widowControl/>
        <w:kinsoku/>
        <w:wordWrap w:val="0"/>
        <w:overflowPunct/>
        <w:topLinePunct/>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p>
    <w:p w14:paraId="4646A8A4">
      <w:pPr>
        <w:pStyle w:val="26"/>
        <w:keepNext w:val="0"/>
        <w:keepLines w:val="0"/>
        <w:pageBreakBefore w:val="0"/>
        <w:kinsoku/>
        <w:wordWrap w:val="0"/>
        <w:overflowPunct/>
        <w:topLinePunct/>
        <w:bidi w:val="0"/>
        <w:rPr>
          <w:rFonts w:hint="eastAsia" w:ascii="宋体" w:hAnsi="宋体" w:eastAsia="宋体" w:cs="宋体"/>
          <w:color w:val="auto"/>
          <w:highlight w:val="none"/>
        </w:rPr>
      </w:pPr>
    </w:p>
    <w:p w14:paraId="6085EC5A">
      <w:pPr>
        <w:keepNext w:val="0"/>
        <w:keepLines w:val="0"/>
        <w:pageBreakBefore w:val="0"/>
        <w:kinsoku/>
        <w:wordWrap w:val="0"/>
        <w:overflowPunct/>
        <w:topLinePunct/>
        <w:bidi w:val="0"/>
        <w:spacing w:line="300" w:lineRule="auto"/>
        <w:rPr>
          <w:rFonts w:hint="eastAsia" w:ascii="宋体" w:hAnsi="宋体" w:eastAsia="宋体" w:cs="宋体"/>
          <w:color w:val="auto"/>
          <w:spacing w:val="0"/>
          <w:sz w:val="20"/>
          <w:szCs w:val="20"/>
          <w:highlight w:val="none"/>
        </w:rPr>
        <w:sectPr>
          <w:footerReference r:id="rId18"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4155A68B">
      <w:pPr>
        <w:keepNext w:val="0"/>
        <w:keepLines w:val="0"/>
        <w:pageBreakBefore w:val="0"/>
        <w:kinsoku/>
        <w:wordWrap w:val="0"/>
        <w:overflowPunct/>
        <w:topLinePunct/>
        <w:bidi w:val="0"/>
        <w:spacing w:before="78" w:line="220" w:lineRule="auto"/>
        <w:outlineLvl w:val="2"/>
        <w:rPr>
          <w:rFonts w:hint="eastAsia" w:ascii="宋体" w:hAnsi="宋体" w:eastAsia="宋体" w:cs="宋体"/>
          <w:b/>
          <w:bCs/>
          <w:color w:val="auto"/>
          <w:spacing w:val="0"/>
          <w:sz w:val="24"/>
          <w:szCs w:val="24"/>
          <w:highlight w:val="none"/>
        </w:rPr>
      </w:pPr>
      <w:bookmarkStart w:id="213" w:name="_Toc15075"/>
      <w:r>
        <w:rPr>
          <w:rFonts w:hint="eastAsia" w:ascii="宋体" w:hAnsi="宋体" w:eastAsia="宋体" w:cs="宋体"/>
          <w:b/>
          <w:bCs/>
          <w:color w:val="auto"/>
          <w:spacing w:val="0"/>
          <w:sz w:val="24"/>
          <w:szCs w:val="24"/>
          <w:highlight w:val="none"/>
        </w:rPr>
        <w:t>格式九 项目经理任职声明</w:t>
      </w:r>
      <w:bookmarkEnd w:id="213"/>
    </w:p>
    <w:p w14:paraId="06F499F9">
      <w:pPr>
        <w:pStyle w:val="6"/>
        <w:keepNext w:val="0"/>
        <w:keepLines w:val="0"/>
        <w:pageBreakBefore w:val="0"/>
        <w:kinsoku/>
        <w:wordWrap w:val="0"/>
        <w:overflowPunct/>
        <w:topLinePunct/>
        <w:bidi w:val="0"/>
        <w:spacing w:line="350" w:lineRule="auto"/>
        <w:rPr>
          <w:rFonts w:hint="eastAsia" w:ascii="宋体" w:hAnsi="宋体" w:eastAsia="宋体" w:cs="宋体"/>
          <w:color w:val="auto"/>
          <w:spacing w:val="0"/>
          <w:highlight w:val="none"/>
        </w:rPr>
      </w:pPr>
    </w:p>
    <w:p w14:paraId="64ECF843">
      <w:pPr>
        <w:pStyle w:val="6"/>
        <w:keepNext w:val="0"/>
        <w:keepLines w:val="0"/>
        <w:pageBreakBefore w:val="0"/>
        <w:kinsoku/>
        <w:wordWrap w:val="0"/>
        <w:overflowPunct/>
        <w:topLinePunct/>
        <w:bidi w:val="0"/>
        <w:spacing w:line="350" w:lineRule="auto"/>
        <w:rPr>
          <w:rFonts w:hint="eastAsia" w:ascii="宋体" w:hAnsi="宋体" w:eastAsia="宋体" w:cs="宋体"/>
          <w:color w:val="auto"/>
          <w:spacing w:val="0"/>
          <w:highlight w:val="none"/>
        </w:rPr>
      </w:pPr>
    </w:p>
    <w:p w14:paraId="3C43AD69">
      <w:pPr>
        <w:keepNext w:val="0"/>
        <w:keepLines w:val="0"/>
        <w:pageBreakBefore w:val="0"/>
        <w:kinsoku/>
        <w:wordWrap w:val="0"/>
        <w:overflowPunct/>
        <w:topLinePunct/>
        <w:bidi w:val="0"/>
        <w:spacing w:before="98" w:line="220" w:lineRule="auto"/>
        <w:ind w:left="3338"/>
        <w:rPr>
          <w:rFonts w:hint="eastAsia" w:ascii="宋体" w:hAnsi="宋体" w:eastAsia="宋体" w:cs="宋体"/>
          <w:color w:val="auto"/>
          <w:spacing w:val="0"/>
          <w:sz w:val="30"/>
          <w:szCs w:val="30"/>
          <w:highlight w:val="none"/>
        </w:rPr>
      </w:pPr>
      <w:bookmarkStart w:id="214" w:name="bookmark157"/>
      <w:bookmarkEnd w:id="214"/>
      <w:r>
        <w:rPr>
          <w:rFonts w:hint="eastAsia" w:ascii="宋体" w:hAnsi="宋体" w:eastAsia="宋体" w:cs="宋体"/>
          <w:b/>
          <w:bCs/>
          <w:color w:val="auto"/>
          <w:spacing w:val="0"/>
          <w:sz w:val="30"/>
          <w:szCs w:val="30"/>
          <w:highlight w:val="none"/>
        </w:rPr>
        <w:t>项目经理任职声明</w:t>
      </w:r>
    </w:p>
    <w:p w14:paraId="4CFD217B">
      <w:pPr>
        <w:pStyle w:val="6"/>
        <w:keepNext w:val="0"/>
        <w:keepLines w:val="0"/>
        <w:pageBreakBefore w:val="0"/>
        <w:kinsoku/>
        <w:wordWrap w:val="0"/>
        <w:overflowPunct/>
        <w:topLinePunct/>
        <w:bidi w:val="0"/>
        <w:spacing w:line="250" w:lineRule="auto"/>
        <w:rPr>
          <w:rFonts w:hint="eastAsia" w:ascii="宋体" w:hAnsi="宋体" w:eastAsia="宋体" w:cs="宋体"/>
          <w:color w:val="auto"/>
          <w:spacing w:val="0"/>
          <w:highlight w:val="none"/>
        </w:rPr>
      </w:pPr>
    </w:p>
    <w:p w14:paraId="609E9843">
      <w:pPr>
        <w:pStyle w:val="6"/>
        <w:keepNext w:val="0"/>
        <w:keepLines w:val="0"/>
        <w:pageBreakBefore w:val="0"/>
        <w:kinsoku/>
        <w:wordWrap w:val="0"/>
        <w:overflowPunct/>
        <w:topLinePunct/>
        <w:bidi w:val="0"/>
        <w:spacing w:line="250" w:lineRule="auto"/>
        <w:rPr>
          <w:rFonts w:hint="eastAsia" w:ascii="宋体" w:hAnsi="宋体" w:eastAsia="宋体" w:cs="宋体"/>
          <w:color w:val="auto"/>
          <w:spacing w:val="0"/>
          <w:highlight w:val="none"/>
        </w:rPr>
      </w:pPr>
    </w:p>
    <w:p w14:paraId="571307BD">
      <w:pPr>
        <w:pStyle w:val="6"/>
        <w:keepNext w:val="0"/>
        <w:keepLines w:val="0"/>
        <w:pageBreakBefore w:val="0"/>
        <w:kinsoku/>
        <w:wordWrap w:val="0"/>
        <w:overflowPunct/>
        <w:topLinePunct/>
        <w:bidi w:val="0"/>
        <w:spacing w:line="251" w:lineRule="auto"/>
        <w:rPr>
          <w:rFonts w:hint="eastAsia" w:ascii="宋体" w:hAnsi="宋体" w:eastAsia="宋体" w:cs="宋体"/>
          <w:color w:val="auto"/>
          <w:spacing w:val="0"/>
          <w:highlight w:val="none"/>
        </w:rPr>
      </w:pPr>
    </w:p>
    <w:p w14:paraId="3A212B9A">
      <w:pPr>
        <w:keepNext w:val="0"/>
        <w:keepLines w:val="0"/>
        <w:pageBreakBefore w:val="0"/>
        <w:kinsoku/>
        <w:wordWrap w:val="0"/>
        <w:overflowPunct/>
        <w:topLinePunct/>
        <w:bidi w:val="0"/>
        <w:spacing w:before="78" w:line="221"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5D608E47">
      <w:pPr>
        <w:keepNext w:val="0"/>
        <w:keepLines w:val="0"/>
        <w:pageBreakBefore w:val="0"/>
        <w:kinsoku/>
        <w:wordWrap w:val="0"/>
        <w:overflowPunct/>
        <w:topLinePunct/>
        <w:bidi w:val="0"/>
        <w:spacing w:before="155"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我方在此声明，我方拟派往</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（项目名称）的项目经理</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（项目经理姓名）现阶段没有担任任何在施（包括已中标未开工、已开工未竣工）建设工程项目的项目经理。</w:t>
      </w:r>
    </w:p>
    <w:p w14:paraId="43693134">
      <w:pPr>
        <w:keepNext w:val="0"/>
        <w:keepLines w:val="0"/>
        <w:pageBreakBefore w:val="0"/>
        <w:kinsoku/>
        <w:wordWrap w:val="0"/>
        <w:overflowPunct/>
        <w:topLinePunct/>
        <w:bidi w:val="0"/>
        <w:spacing w:before="35" w:line="326" w:lineRule="auto"/>
        <w:ind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我方保证上述信息的真实和准确，并愿意承担因我方就此弄虚作假所引起的一切法律后果。</w:t>
      </w:r>
    </w:p>
    <w:p w14:paraId="249CEF1F">
      <w:pPr>
        <w:pStyle w:val="6"/>
        <w:keepNext w:val="0"/>
        <w:keepLines w:val="0"/>
        <w:pageBreakBefore w:val="0"/>
        <w:kinsoku/>
        <w:wordWrap w:val="0"/>
        <w:overflowPunct/>
        <w:topLinePunct/>
        <w:bidi w:val="0"/>
        <w:spacing w:line="391" w:lineRule="auto"/>
        <w:rPr>
          <w:rFonts w:hint="eastAsia" w:ascii="宋体" w:hAnsi="宋体" w:eastAsia="宋体" w:cs="宋体"/>
          <w:color w:val="auto"/>
          <w:spacing w:val="0"/>
          <w:highlight w:val="none"/>
        </w:rPr>
      </w:pPr>
    </w:p>
    <w:p w14:paraId="4C1FF089">
      <w:pPr>
        <w:keepNext w:val="0"/>
        <w:keepLines w:val="0"/>
        <w:pageBreakBefore w:val="0"/>
        <w:kinsoku/>
        <w:wordWrap w:val="0"/>
        <w:overflowPunct/>
        <w:topLinePunct/>
        <w:bidi w:val="0"/>
        <w:spacing w:before="78" w:line="220" w:lineRule="auto"/>
        <w:ind w:left="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特此承诺</w:t>
      </w:r>
    </w:p>
    <w:p w14:paraId="4477DF4F">
      <w:pPr>
        <w:pStyle w:val="6"/>
        <w:keepNext w:val="0"/>
        <w:keepLines w:val="0"/>
        <w:pageBreakBefore w:val="0"/>
        <w:kinsoku/>
        <w:wordWrap w:val="0"/>
        <w:overflowPunct/>
        <w:topLinePunct/>
        <w:bidi w:val="0"/>
        <w:spacing w:line="316" w:lineRule="auto"/>
        <w:rPr>
          <w:rFonts w:hint="eastAsia" w:ascii="宋体" w:hAnsi="宋体" w:eastAsia="宋体" w:cs="宋体"/>
          <w:color w:val="auto"/>
          <w:spacing w:val="0"/>
          <w:highlight w:val="none"/>
        </w:rPr>
      </w:pPr>
    </w:p>
    <w:p w14:paraId="3B3850C4">
      <w:pPr>
        <w:pStyle w:val="6"/>
        <w:keepNext w:val="0"/>
        <w:keepLines w:val="0"/>
        <w:pageBreakBefore w:val="0"/>
        <w:kinsoku/>
        <w:wordWrap w:val="0"/>
        <w:overflowPunct/>
        <w:topLinePunct/>
        <w:bidi w:val="0"/>
        <w:spacing w:line="317" w:lineRule="auto"/>
        <w:rPr>
          <w:rFonts w:hint="eastAsia" w:ascii="宋体" w:hAnsi="宋体" w:eastAsia="宋体" w:cs="宋体"/>
          <w:color w:val="auto"/>
          <w:spacing w:val="0"/>
          <w:highlight w:val="none"/>
        </w:rPr>
      </w:pPr>
    </w:p>
    <w:p w14:paraId="4499D824">
      <w:pPr>
        <w:pStyle w:val="6"/>
        <w:keepNext w:val="0"/>
        <w:keepLines w:val="0"/>
        <w:pageBreakBefore w:val="0"/>
        <w:kinsoku/>
        <w:wordWrap w:val="0"/>
        <w:overflowPunct/>
        <w:topLinePunct/>
        <w:bidi w:val="0"/>
        <w:spacing w:line="317" w:lineRule="auto"/>
        <w:rPr>
          <w:rFonts w:hint="eastAsia" w:ascii="宋体" w:hAnsi="宋体" w:eastAsia="宋体" w:cs="宋体"/>
          <w:color w:val="auto"/>
          <w:spacing w:val="0"/>
          <w:highlight w:val="none"/>
        </w:rPr>
      </w:pPr>
    </w:p>
    <w:p w14:paraId="0AFBC9FA">
      <w:pPr>
        <w:keepNext w:val="0"/>
        <w:keepLines w:val="0"/>
        <w:pageBreakBefore w:val="0"/>
        <w:kinsoku/>
        <w:wordWrap w:val="0"/>
        <w:overflowPunct/>
        <w:topLinePunct/>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17F70444">
      <w:pPr>
        <w:pStyle w:val="6"/>
        <w:keepNext w:val="0"/>
        <w:keepLines w:val="0"/>
        <w:pageBreakBefore w:val="0"/>
        <w:kinsoku/>
        <w:wordWrap w:val="0"/>
        <w:overflowPunct/>
        <w:topLinePunct/>
        <w:bidi w:val="0"/>
        <w:spacing w:line="317" w:lineRule="auto"/>
        <w:rPr>
          <w:rFonts w:hint="eastAsia" w:ascii="宋体" w:hAnsi="宋体" w:eastAsia="宋体" w:cs="宋体"/>
          <w:color w:val="auto"/>
          <w:spacing w:val="0"/>
          <w:highlight w:val="none"/>
        </w:rPr>
      </w:pPr>
    </w:p>
    <w:p w14:paraId="6B6ACED4">
      <w:pPr>
        <w:pStyle w:val="6"/>
        <w:keepNext w:val="0"/>
        <w:keepLines w:val="0"/>
        <w:pageBreakBefore w:val="0"/>
        <w:kinsoku/>
        <w:wordWrap w:val="0"/>
        <w:overflowPunct/>
        <w:topLinePunct/>
        <w:bidi w:val="0"/>
        <w:spacing w:line="317" w:lineRule="auto"/>
        <w:rPr>
          <w:rFonts w:hint="eastAsia" w:ascii="宋体" w:hAnsi="宋体" w:eastAsia="宋体" w:cs="宋体"/>
          <w:color w:val="auto"/>
          <w:spacing w:val="0"/>
          <w:highlight w:val="none"/>
        </w:rPr>
      </w:pPr>
    </w:p>
    <w:p w14:paraId="4D4A9A3F">
      <w:pPr>
        <w:pStyle w:val="6"/>
        <w:keepNext w:val="0"/>
        <w:keepLines w:val="0"/>
        <w:pageBreakBefore w:val="0"/>
        <w:kinsoku/>
        <w:wordWrap w:val="0"/>
        <w:overflowPunct/>
        <w:topLinePunct/>
        <w:bidi w:val="0"/>
        <w:spacing w:line="317" w:lineRule="auto"/>
        <w:rPr>
          <w:rFonts w:hint="eastAsia" w:ascii="宋体" w:hAnsi="宋体" w:eastAsia="宋体" w:cs="宋体"/>
          <w:color w:val="auto"/>
          <w:spacing w:val="0"/>
          <w:highlight w:val="none"/>
        </w:rPr>
      </w:pPr>
    </w:p>
    <w:p w14:paraId="1823F393">
      <w:pPr>
        <w:keepNext w:val="0"/>
        <w:keepLines w:val="0"/>
        <w:pageBreakBefore w:val="0"/>
        <w:kinsoku/>
        <w:wordWrap w:val="0"/>
        <w:overflowPunct/>
        <w:topLinePunct/>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25D82A46">
      <w:pPr>
        <w:pStyle w:val="6"/>
        <w:keepNext w:val="0"/>
        <w:keepLines w:val="0"/>
        <w:pageBreakBefore w:val="0"/>
        <w:kinsoku/>
        <w:wordWrap w:val="0"/>
        <w:overflowPunct/>
        <w:topLinePunct/>
        <w:bidi w:val="0"/>
        <w:spacing w:line="257" w:lineRule="auto"/>
        <w:rPr>
          <w:rFonts w:hint="eastAsia" w:ascii="宋体" w:hAnsi="宋体" w:eastAsia="宋体" w:cs="宋体"/>
          <w:color w:val="auto"/>
          <w:spacing w:val="0"/>
          <w:highlight w:val="none"/>
        </w:rPr>
      </w:pPr>
    </w:p>
    <w:p w14:paraId="23CC5A8F">
      <w:pPr>
        <w:pStyle w:val="6"/>
        <w:keepNext w:val="0"/>
        <w:keepLines w:val="0"/>
        <w:pageBreakBefore w:val="0"/>
        <w:kinsoku/>
        <w:wordWrap w:val="0"/>
        <w:overflowPunct/>
        <w:topLinePunct/>
        <w:bidi w:val="0"/>
        <w:spacing w:line="257" w:lineRule="auto"/>
        <w:rPr>
          <w:rFonts w:hint="eastAsia" w:ascii="宋体" w:hAnsi="宋体" w:eastAsia="宋体" w:cs="宋体"/>
          <w:color w:val="auto"/>
          <w:spacing w:val="0"/>
          <w:highlight w:val="none"/>
        </w:rPr>
      </w:pPr>
    </w:p>
    <w:p w14:paraId="44AD78DE">
      <w:pPr>
        <w:pStyle w:val="6"/>
        <w:keepNext w:val="0"/>
        <w:keepLines w:val="0"/>
        <w:pageBreakBefore w:val="0"/>
        <w:kinsoku/>
        <w:wordWrap w:val="0"/>
        <w:overflowPunct/>
        <w:topLinePunct/>
        <w:bidi w:val="0"/>
        <w:spacing w:line="257" w:lineRule="auto"/>
        <w:rPr>
          <w:rFonts w:hint="eastAsia" w:ascii="宋体" w:hAnsi="宋体" w:eastAsia="宋体" w:cs="宋体"/>
          <w:color w:val="auto"/>
          <w:spacing w:val="0"/>
          <w:highlight w:val="none"/>
        </w:rPr>
      </w:pPr>
    </w:p>
    <w:p w14:paraId="60E0158D">
      <w:pPr>
        <w:pStyle w:val="6"/>
        <w:keepNext w:val="0"/>
        <w:keepLines w:val="0"/>
        <w:pageBreakBefore w:val="0"/>
        <w:kinsoku/>
        <w:wordWrap w:val="0"/>
        <w:overflowPunct/>
        <w:topLinePunct/>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7AA5F129">
      <w:pPr>
        <w:keepNext w:val="0"/>
        <w:keepLines w:val="0"/>
        <w:pageBreakBefore w:val="0"/>
        <w:kinsoku/>
        <w:wordWrap w:val="0"/>
        <w:overflowPunct/>
        <w:topLinePunct/>
        <w:bidi w:val="0"/>
        <w:spacing w:line="220" w:lineRule="auto"/>
        <w:rPr>
          <w:rFonts w:hint="eastAsia" w:ascii="宋体" w:hAnsi="宋体" w:eastAsia="宋体" w:cs="宋体"/>
          <w:color w:val="auto"/>
          <w:spacing w:val="0"/>
          <w:sz w:val="24"/>
          <w:szCs w:val="24"/>
          <w:highlight w:val="none"/>
        </w:rPr>
        <w:sectPr>
          <w:footerReference r:id="rId19"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21639B57">
      <w:pPr>
        <w:keepNext w:val="0"/>
        <w:keepLines w:val="0"/>
        <w:pageBreakBefore w:val="0"/>
        <w:kinsoku/>
        <w:wordWrap w:val="0"/>
        <w:overflowPunct/>
        <w:topLinePunct/>
        <w:bidi w:val="0"/>
        <w:spacing w:before="78" w:line="220" w:lineRule="auto"/>
        <w:outlineLvl w:val="2"/>
        <w:rPr>
          <w:rFonts w:hint="eastAsia" w:ascii="宋体" w:hAnsi="宋体" w:eastAsia="宋体" w:cs="宋体"/>
          <w:b/>
          <w:bCs/>
          <w:color w:val="auto"/>
          <w:spacing w:val="0"/>
          <w:sz w:val="24"/>
          <w:szCs w:val="24"/>
          <w:highlight w:val="none"/>
        </w:rPr>
      </w:pPr>
      <w:bookmarkStart w:id="215" w:name="_Toc16452"/>
      <w:r>
        <w:rPr>
          <w:rFonts w:hint="eastAsia" w:ascii="宋体" w:hAnsi="宋体" w:eastAsia="宋体" w:cs="宋体"/>
          <w:b/>
          <w:bCs/>
          <w:color w:val="auto"/>
          <w:spacing w:val="0"/>
          <w:sz w:val="24"/>
          <w:szCs w:val="24"/>
          <w:highlight w:val="none"/>
        </w:rPr>
        <w:t>格式十 项目技术负责人简历表</w:t>
      </w:r>
      <w:bookmarkEnd w:id="215"/>
    </w:p>
    <w:p w14:paraId="3AB344F0">
      <w:pPr>
        <w:pStyle w:val="6"/>
        <w:keepNext w:val="0"/>
        <w:keepLines w:val="0"/>
        <w:pageBreakBefore w:val="0"/>
        <w:kinsoku/>
        <w:wordWrap w:val="0"/>
        <w:overflowPunct/>
        <w:topLinePunct/>
        <w:bidi w:val="0"/>
        <w:spacing w:line="444" w:lineRule="auto"/>
        <w:rPr>
          <w:rFonts w:hint="eastAsia" w:ascii="宋体" w:hAnsi="宋体" w:eastAsia="宋体" w:cs="宋体"/>
          <w:color w:val="auto"/>
          <w:spacing w:val="0"/>
          <w:highlight w:val="none"/>
        </w:rPr>
      </w:pPr>
    </w:p>
    <w:p w14:paraId="627F23CD">
      <w:pPr>
        <w:keepNext w:val="0"/>
        <w:keepLines w:val="0"/>
        <w:pageBreakBefore w:val="0"/>
        <w:kinsoku/>
        <w:wordWrap w:val="0"/>
        <w:overflowPunct/>
        <w:topLinePunct/>
        <w:bidi w:val="0"/>
        <w:spacing w:before="97" w:line="219" w:lineRule="auto"/>
        <w:ind w:left="3087"/>
        <w:outlineLvl w:val="9"/>
        <w:rPr>
          <w:rFonts w:hint="eastAsia" w:ascii="宋体" w:hAnsi="宋体" w:eastAsia="宋体" w:cs="宋体"/>
          <w:color w:val="auto"/>
          <w:spacing w:val="0"/>
          <w:sz w:val="30"/>
          <w:szCs w:val="30"/>
          <w:highlight w:val="none"/>
        </w:rPr>
      </w:pPr>
      <w:bookmarkStart w:id="216" w:name="_Toc25712"/>
      <w:bookmarkStart w:id="217" w:name="_Toc1553"/>
      <w:r>
        <w:rPr>
          <w:rFonts w:hint="eastAsia" w:ascii="宋体" w:hAnsi="宋体" w:eastAsia="宋体" w:cs="宋体"/>
          <w:b/>
          <w:bCs/>
          <w:color w:val="auto"/>
          <w:spacing w:val="0"/>
          <w:sz w:val="30"/>
          <w:szCs w:val="30"/>
          <w:highlight w:val="none"/>
        </w:rPr>
        <w:t>项目技术负责人简历表</w:t>
      </w:r>
      <w:bookmarkEnd w:id="216"/>
      <w:bookmarkEnd w:id="217"/>
    </w:p>
    <w:p w14:paraId="257DDE2D">
      <w:pPr>
        <w:keepNext w:val="0"/>
        <w:keepLines w:val="0"/>
        <w:pageBreakBefore w:val="0"/>
        <w:kinsoku/>
        <w:wordWrap w:val="0"/>
        <w:overflowPunct/>
        <w:topLinePunct/>
        <w:bidi w:val="0"/>
        <w:spacing w:line="240" w:lineRule="exact"/>
        <w:rPr>
          <w:rFonts w:hint="eastAsia" w:ascii="宋体" w:hAnsi="宋体" w:eastAsia="宋体" w:cs="宋体"/>
          <w:color w:val="auto"/>
          <w:spacing w:val="0"/>
          <w:highlight w:val="none"/>
        </w:rPr>
      </w:pPr>
    </w:p>
    <w:tbl>
      <w:tblPr>
        <w:tblStyle w:val="16"/>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2292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813" w:type="dxa"/>
            <w:gridSpan w:val="2"/>
            <w:vAlign w:val="center"/>
          </w:tcPr>
          <w:p w14:paraId="4A5575D1">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82" w:type="dxa"/>
            <w:gridSpan w:val="2"/>
            <w:vAlign w:val="center"/>
          </w:tcPr>
          <w:p w14:paraId="2B1BA833">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lang w:val="en-US" w:eastAsia="zh-CN"/>
              </w:rPr>
            </w:pPr>
          </w:p>
        </w:tc>
        <w:tc>
          <w:tcPr>
            <w:tcW w:w="1346" w:type="dxa"/>
            <w:vAlign w:val="center"/>
          </w:tcPr>
          <w:p w14:paraId="5CA10AC3">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47" w:type="dxa"/>
            <w:vAlign w:val="center"/>
          </w:tcPr>
          <w:p w14:paraId="683D1F2A">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52F61EB5">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86" w:type="dxa"/>
            <w:vAlign w:val="center"/>
          </w:tcPr>
          <w:p w14:paraId="207A4016">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02B95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813" w:type="dxa"/>
            <w:gridSpan w:val="2"/>
            <w:vAlign w:val="center"/>
          </w:tcPr>
          <w:p w14:paraId="516DABE9">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82" w:type="dxa"/>
            <w:gridSpan w:val="2"/>
            <w:vAlign w:val="center"/>
          </w:tcPr>
          <w:p w14:paraId="0CA20C06">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346" w:type="dxa"/>
            <w:vAlign w:val="center"/>
          </w:tcPr>
          <w:p w14:paraId="28F14831">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47" w:type="dxa"/>
            <w:vAlign w:val="center"/>
          </w:tcPr>
          <w:p w14:paraId="07FCAC6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48C03C37">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86" w:type="dxa"/>
            <w:vAlign w:val="center"/>
          </w:tcPr>
          <w:p w14:paraId="348B2104">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635ED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813" w:type="dxa"/>
            <w:gridSpan w:val="2"/>
            <w:vAlign w:val="center"/>
          </w:tcPr>
          <w:p w14:paraId="7820B33B">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28" w:type="dxa"/>
            <w:gridSpan w:val="3"/>
            <w:vAlign w:val="center"/>
          </w:tcPr>
          <w:p w14:paraId="2E7C61D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3830" w:type="dxa"/>
            <w:gridSpan w:val="2"/>
            <w:vAlign w:val="center"/>
          </w:tcPr>
          <w:p w14:paraId="3D18674D">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86" w:type="dxa"/>
            <w:vAlign w:val="center"/>
          </w:tcPr>
          <w:p w14:paraId="689F0F5D">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4B079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57" w:type="dxa"/>
            <w:gridSpan w:val="8"/>
            <w:vAlign w:val="center"/>
          </w:tcPr>
          <w:p w14:paraId="3A71BF9E">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以项目技术负责人身份参与过的主要业绩（已完工项目）</w:t>
            </w:r>
          </w:p>
        </w:tc>
      </w:tr>
      <w:tr w14:paraId="3DEA8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10" w:type="dxa"/>
            <w:vAlign w:val="center"/>
          </w:tcPr>
          <w:p w14:paraId="44852B27">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10" w:type="dxa"/>
            <w:gridSpan w:val="2"/>
            <w:vAlign w:val="center"/>
          </w:tcPr>
          <w:p w14:paraId="4C220CF9">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21" w:type="dxa"/>
            <w:gridSpan w:val="2"/>
            <w:vAlign w:val="center"/>
          </w:tcPr>
          <w:p w14:paraId="6F0C8F49">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47" w:type="dxa"/>
            <w:vAlign w:val="center"/>
          </w:tcPr>
          <w:p w14:paraId="556ACEDD">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83" w:type="dxa"/>
            <w:vAlign w:val="center"/>
          </w:tcPr>
          <w:p w14:paraId="61666DE3">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86" w:type="dxa"/>
            <w:vAlign w:val="center"/>
          </w:tcPr>
          <w:p w14:paraId="122416DA">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21A66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10" w:type="dxa"/>
            <w:vAlign w:val="center"/>
          </w:tcPr>
          <w:p w14:paraId="72106CE2">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10" w:type="dxa"/>
            <w:gridSpan w:val="2"/>
            <w:vAlign w:val="center"/>
          </w:tcPr>
          <w:p w14:paraId="7BAB3333">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513F599B">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0938158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263C79FD">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72D3B0CB">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13435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10" w:type="dxa"/>
            <w:vAlign w:val="center"/>
          </w:tcPr>
          <w:p w14:paraId="4FEAA87B">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10" w:type="dxa"/>
            <w:gridSpan w:val="2"/>
            <w:vAlign w:val="center"/>
          </w:tcPr>
          <w:p w14:paraId="2EA8A24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3DA26D39">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3677E322">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4D63B2ED">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2B284349">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68151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10" w:type="dxa"/>
            <w:vAlign w:val="center"/>
          </w:tcPr>
          <w:p w14:paraId="61CB33C0">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10" w:type="dxa"/>
            <w:gridSpan w:val="2"/>
            <w:vAlign w:val="center"/>
          </w:tcPr>
          <w:p w14:paraId="455C3E04">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223A71ED">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151A65D5">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28318EA4">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75DF3C96">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3B759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10" w:type="dxa"/>
            <w:vAlign w:val="center"/>
          </w:tcPr>
          <w:p w14:paraId="11A28765">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0497A3C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0CE7727C">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04A54AF9">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D886FCF">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2709950D">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2F8EF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10" w:type="dxa"/>
            <w:vAlign w:val="center"/>
          </w:tcPr>
          <w:p w14:paraId="15DCA765">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6D19C2DA">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0128598C">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2D4A6473">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3B0B7100">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2DA5045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bl>
    <w:p w14:paraId="210E20E7">
      <w:pPr>
        <w:pStyle w:val="6"/>
        <w:keepNext w:val="0"/>
        <w:keepLines w:val="0"/>
        <w:pageBreakBefore w:val="0"/>
        <w:kinsoku/>
        <w:wordWrap w:val="0"/>
        <w:overflowPunct/>
        <w:topLinePunct/>
        <w:bidi w:val="0"/>
        <w:spacing w:line="314" w:lineRule="auto"/>
        <w:rPr>
          <w:rFonts w:hint="eastAsia" w:ascii="宋体" w:hAnsi="宋体" w:eastAsia="宋体" w:cs="宋体"/>
          <w:color w:val="auto"/>
          <w:spacing w:val="0"/>
          <w:sz w:val="24"/>
          <w:szCs w:val="24"/>
          <w:highlight w:val="none"/>
        </w:rPr>
      </w:pPr>
    </w:p>
    <w:p w14:paraId="38D740C5">
      <w:pPr>
        <w:pStyle w:val="6"/>
        <w:keepNext w:val="0"/>
        <w:keepLines w:val="0"/>
        <w:pageBreakBefore w:val="0"/>
        <w:kinsoku/>
        <w:wordWrap w:val="0"/>
        <w:overflowPunct/>
        <w:topLinePunct/>
        <w:bidi w:val="0"/>
        <w:spacing w:line="315" w:lineRule="auto"/>
        <w:rPr>
          <w:rFonts w:hint="eastAsia" w:ascii="宋体" w:hAnsi="宋体" w:eastAsia="宋体" w:cs="宋体"/>
          <w:color w:val="auto"/>
          <w:spacing w:val="0"/>
          <w:sz w:val="24"/>
          <w:szCs w:val="24"/>
          <w:highlight w:val="none"/>
        </w:rPr>
      </w:pPr>
    </w:p>
    <w:p w14:paraId="4C6AF482">
      <w:pPr>
        <w:keepNext w:val="0"/>
        <w:keepLines w:val="0"/>
        <w:pageBreakBefore w:val="0"/>
        <w:kinsoku/>
        <w:wordWrap w:val="0"/>
        <w:overflowPunct/>
        <w:topLinePunct/>
        <w:bidi w:val="0"/>
        <w:spacing w:before="78" w:line="220" w:lineRule="auto"/>
        <w:ind w:left="5165"/>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w:t>
      </w:r>
    </w:p>
    <w:p w14:paraId="12F6EA97">
      <w:pPr>
        <w:pStyle w:val="6"/>
        <w:keepNext w:val="0"/>
        <w:keepLines w:val="0"/>
        <w:pageBreakBefore w:val="0"/>
        <w:kinsoku/>
        <w:wordWrap w:val="0"/>
        <w:overflowPunct/>
        <w:topLinePunct/>
        <w:bidi w:val="0"/>
        <w:spacing w:line="256" w:lineRule="auto"/>
        <w:jc w:val="right"/>
        <w:rPr>
          <w:rFonts w:hint="eastAsia" w:ascii="宋体" w:hAnsi="宋体" w:eastAsia="宋体" w:cs="宋体"/>
          <w:color w:val="auto"/>
          <w:spacing w:val="0"/>
          <w:sz w:val="24"/>
          <w:szCs w:val="24"/>
          <w:highlight w:val="none"/>
        </w:rPr>
      </w:pPr>
    </w:p>
    <w:p w14:paraId="7E867A4B">
      <w:pPr>
        <w:pStyle w:val="6"/>
        <w:keepNext w:val="0"/>
        <w:keepLines w:val="0"/>
        <w:pageBreakBefore w:val="0"/>
        <w:kinsoku/>
        <w:wordWrap w:val="0"/>
        <w:overflowPunct/>
        <w:topLinePunct/>
        <w:bidi w:val="0"/>
        <w:spacing w:line="257" w:lineRule="auto"/>
        <w:jc w:val="right"/>
        <w:rPr>
          <w:rFonts w:hint="eastAsia" w:ascii="宋体" w:hAnsi="宋体" w:eastAsia="宋体" w:cs="宋体"/>
          <w:color w:val="auto"/>
          <w:spacing w:val="0"/>
          <w:sz w:val="24"/>
          <w:szCs w:val="24"/>
          <w:highlight w:val="none"/>
        </w:rPr>
      </w:pPr>
    </w:p>
    <w:p w14:paraId="50E05247">
      <w:pPr>
        <w:pStyle w:val="6"/>
        <w:keepNext w:val="0"/>
        <w:keepLines w:val="0"/>
        <w:pageBreakBefore w:val="0"/>
        <w:kinsoku/>
        <w:wordWrap w:val="0"/>
        <w:overflowPunct/>
        <w:topLinePunct/>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17587AE6">
      <w:pPr>
        <w:keepNext w:val="0"/>
        <w:keepLines w:val="0"/>
        <w:pageBreakBefore w:val="0"/>
        <w:widowControl/>
        <w:kinsoku/>
        <w:wordWrap w:val="0"/>
        <w:overflowPunct/>
        <w:topLinePunct/>
        <w:autoSpaceDE w:val="0"/>
        <w:autoSpaceDN w:val="0"/>
        <w:bidi w:val="0"/>
        <w:adjustRightInd/>
        <w:snapToGrid/>
        <w:spacing w:before="65" w:line="360" w:lineRule="auto"/>
        <w:ind w:left="0" w:right="0" w:firstLine="0"/>
        <w:textAlignment w:val="baseline"/>
        <w:rPr>
          <w:rFonts w:hint="eastAsia" w:ascii="宋体" w:hAnsi="宋体" w:eastAsia="宋体" w:cs="宋体"/>
          <w:color w:val="auto"/>
          <w:spacing w:val="0"/>
          <w:sz w:val="24"/>
          <w:szCs w:val="24"/>
          <w:highlight w:val="none"/>
        </w:rPr>
      </w:pPr>
    </w:p>
    <w:p w14:paraId="4FF7E0CB">
      <w:pPr>
        <w:keepNext w:val="0"/>
        <w:keepLines w:val="0"/>
        <w:pageBreakBefore w:val="0"/>
        <w:widowControl/>
        <w:kinsoku/>
        <w:wordWrap w:val="0"/>
        <w:overflowPunct/>
        <w:topLinePunct/>
        <w:autoSpaceDE w:val="0"/>
        <w:autoSpaceDN w:val="0"/>
        <w:bidi w:val="0"/>
        <w:adjustRightInd/>
        <w:snapToGrid/>
        <w:spacing w:before="6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说明：《项目技术负责人简历表》后应附拟派项目技术负责人以下资料：</w:t>
      </w:r>
    </w:p>
    <w:p w14:paraId="3204F61B">
      <w:pPr>
        <w:keepNext w:val="0"/>
        <w:keepLines w:val="0"/>
        <w:pageBreakBefore w:val="0"/>
        <w:widowControl/>
        <w:kinsoku/>
        <w:wordWrap w:val="0"/>
        <w:overflowPunct/>
        <w:topLinePunct/>
        <w:autoSpaceDE w:val="0"/>
        <w:autoSpaceDN w:val="0"/>
        <w:bidi w:val="0"/>
        <w:adjustRightInd/>
        <w:snapToGrid/>
        <w:spacing w:before="15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．身份证彩色扫描件；</w:t>
      </w:r>
    </w:p>
    <w:p w14:paraId="38C18120">
      <w:pPr>
        <w:keepNext w:val="0"/>
        <w:keepLines w:val="0"/>
        <w:pageBreakBefore w:val="0"/>
        <w:widowControl/>
        <w:kinsoku/>
        <w:wordWrap w:val="0"/>
        <w:overflowPunct/>
        <w:topLinePunct/>
        <w:autoSpaceDE w:val="0"/>
        <w:autoSpaceDN w:val="0"/>
        <w:bidi w:val="0"/>
        <w:adjustRightInd/>
        <w:snapToGrid/>
        <w:spacing w:before="151"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．职称证彩色扫描件；</w:t>
      </w:r>
    </w:p>
    <w:p w14:paraId="62DDC270">
      <w:pPr>
        <w:keepNext w:val="0"/>
        <w:keepLines w:val="0"/>
        <w:pageBreakBefore w:val="0"/>
        <w:widowControl/>
        <w:kinsoku/>
        <w:wordWrap w:val="0"/>
        <w:overflowPunct/>
        <w:topLinePunct/>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个月，其中必须有2026年</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 拟派项目技术负责人为退休返聘人员无法提供社保证明的，提供退休证和劳动合同彩色扫描件。</w:t>
      </w:r>
    </w:p>
    <w:p w14:paraId="7C67066F">
      <w:pPr>
        <w:keepNext w:val="0"/>
        <w:keepLines w:val="0"/>
        <w:pageBreakBefore w:val="0"/>
        <w:widowControl/>
        <w:kinsoku/>
        <w:wordWrap w:val="0"/>
        <w:overflowPunct/>
        <w:topLinePunct/>
        <w:autoSpaceDE w:val="0"/>
        <w:autoSpaceDN w:val="0"/>
        <w:bidi w:val="0"/>
        <w:adjustRightInd/>
        <w:snapToGrid/>
        <w:spacing w:before="153" w:line="360" w:lineRule="auto"/>
        <w:ind w:left="0" w:right="0" w:firstLine="0"/>
        <w:textAlignment w:val="baseline"/>
        <w:rPr>
          <w:rFonts w:hint="default"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 .“进粤企业和人员诚信信息登记平台”个人信息情况截图。（适用于省外建筑企业）</w:t>
      </w:r>
    </w:p>
    <w:p w14:paraId="11E5FC89">
      <w:pPr>
        <w:keepNext w:val="0"/>
        <w:keepLines w:val="0"/>
        <w:pageBreakBefore w:val="0"/>
        <w:kinsoku/>
        <w:wordWrap w:val="0"/>
        <w:overflowPunct/>
        <w:topLinePunct/>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28C753C4">
      <w:pPr>
        <w:keepNext w:val="0"/>
        <w:keepLines w:val="0"/>
        <w:pageBreakBefore w:val="0"/>
        <w:kinsoku/>
        <w:wordWrap w:val="0"/>
        <w:overflowPunct/>
        <w:topLinePunct/>
        <w:bidi w:val="0"/>
        <w:spacing w:before="78" w:line="220" w:lineRule="auto"/>
        <w:outlineLvl w:val="2"/>
        <w:rPr>
          <w:rFonts w:hint="eastAsia" w:ascii="宋体" w:hAnsi="宋体" w:eastAsia="宋体" w:cs="宋体"/>
          <w:b/>
          <w:bCs/>
          <w:color w:val="auto"/>
          <w:spacing w:val="0"/>
          <w:sz w:val="24"/>
          <w:szCs w:val="24"/>
          <w:highlight w:val="none"/>
        </w:rPr>
      </w:pPr>
      <w:bookmarkStart w:id="218" w:name="_Toc23831"/>
      <w:r>
        <w:rPr>
          <w:rFonts w:hint="eastAsia" w:ascii="宋体" w:hAnsi="宋体" w:eastAsia="宋体" w:cs="宋体"/>
          <w:b/>
          <w:bCs/>
          <w:color w:val="auto"/>
          <w:spacing w:val="0"/>
          <w:sz w:val="24"/>
          <w:szCs w:val="24"/>
          <w:highlight w:val="none"/>
        </w:rPr>
        <w:t>格式十一 项目管理机构组成表</w:t>
      </w:r>
      <w:bookmarkEnd w:id="218"/>
    </w:p>
    <w:p w14:paraId="2415E94E">
      <w:pPr>
        <w:pStyle w:val="6"/>
        <w:keepNext w:val="0"/>
        <w:keepLines w:val="0"/>
        <w:pageBreakBefore w:val="0"/>
        <w:kinsoku/>
        <w:wordWrap w:val="0"/>
        <w:overflowPunct/>
        <w:topLinePunct/>
        <w:bidi w:val="0"/>
        <w:spacing w:line="351" w:lineRule="auto"/>
        <w:rPr>
          <w:rFonts w:hint="eastAsia" w:ascii="宋体" w:hAnsi="宋体" w:eastAsia="宋体" w:cs="宋体"/>
          <w:color w:val="auto"/>
          <w:spacing w:val="0"/>
          <w:highlight w:val="none"/>
        </w:rPr>
      </w:pPr>
    </w:p>
    <w:p w14:paraId="02581602">
      <w:pPr>
        <w:pStyle w:val="6"/>
        <w:keepNext w:val="0"/>
        <w:keepLines w:val="0"/>
        <w:pageBreakBefore w:val="0"/>
        <w:kinsoku/>
        <w:wordWrap w:val="0"/>
        <w:overflowPunct/>
        <w:topLinePunct/>
        <w:bidi w:val="0"/>
        <w:spacing w:line="351" w:lineRule="auto"/>
        <w:rPr>
          <w:rFonts w:hint="eastAsia" w:ascii="宋体" w:hAnsi="宋体" w:eastAsia="宋体" w:cs="宋体"/>
          <w:color w:val="auto"/>
          <w:spacing w:val="0"/>
          <w:highlight w:val="none"/>
        </w:rPr>
      </w:pPr>
    </w:p>
    <w:p w14:paraId="5CFAB7F0">
      <w:pPr>
        <w:keepNext w:val="0"/>
        <w:keepLines w:val="0"/>
        <w:pageBreakBefore w:val="0"/>
        <w:kinsoku/>
        <w:wordWrap w:val="0"/>
        <w:overflowPunct/>
        <w:topLinePunct/>
        <w:bidi w:val="0"/>
        <w:spacing w:before="97" w:line="219" w:lineRule="auto"/>
        <w:ind w:left="3200"/>
        <w:outlineLvl w:val="9"/>
        <w:rPr>
          <w:rFonts w:hint="eastAsia" w:ascii="宋体" w:hAnsi="宋体" w:eastAsia="宋体" w:cs="宋体"/>
          <w:color w:val="auto"/>
          <w:spacing w:val="0"/>
          <w:sz w:val="30"/>
          <w:szCs w:val="30"/>
          <w:highlight w:val="none"/>
        </w:rPr>
      </w:pPr>
      <w:bookmarkStart w:id="219" w:name="bookmark158"/>
      <w:bookmarkEnd w:id="219"/>
      <w:bookmarkStart w:id="220" w:name="_Toc19973"/>
      <w:bookmarkStart w:id="221" w:name="_Toc28765"/>
      <w:r>
        <w:rPr>
          <w:rFonts w:hint="eastAsia" w:ascii="宋体" w:hAnsi="宋体" w:eastAsia="宋体" w:cs="宋体"/>
          <w:b/>
          <w:bCs/>
          <w:color w:val="auto"/>
          <w:spacing w:val="0"/>
          <w:sz w:val="30"/>
          <w:szCs w:val="30"/>
          <w:highlight w:val="none"/>
        </w:rPr>
        <w:t>项目管理机构组成表</w:t>
      </w:r>
      <w:bookmarkEnd w:id="220"/>
      <w:bookmarkEnd w:id="221"/>
    </w:p>
    <w:p w14:paraId="240EADA8">
      <w:pPr>
        <w:keepNext w:val="0"/>
        <w:keepLines w:val="0"/>
        <w:pageBreakBefore w:val="0"/>
        <w:kinsoku/>
        <w:wordWrap w:val="0"/>
        <w:overflowPunct/>
        <w:topLinePunct/>
        <w:bidi w:val="0"/>
        <w:spacing w:before="7"/>
        <w:rPr>
          <w:rFonts w:hint="eastAsia" w:ascii="宋体" w:hAnsi="宋体" w:eastAsia="宋体" w:cs="宋体"/>
          <w:color w:val="auto"/>
          <w:spacing w:val="0"/>
          <w:highlight w:val="none"/>
        </w:rPr>
      </w:pPr>
    </w:p>
    <w:tbl>
      <w:tblPr>
        <w:tblStyle w:val="16"/>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D4D6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center"/>
          </w:tcPr>
          <w:p w14:paraId="2569C295">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序号</w:t>
            </w:r>
          </w:p>
        </w:tc>
        <w:tc>
          <w:tcPr>
            <w:tcW w:w="1939" w:type="dxa"/>
            <w:vAlign w:val="center"/>
          </w:tcPr>
          <w:p w14:paraId="0930CB51">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岗位</w:t>
            </w:r>
          </w:p>
        </w:tc>
        <w:tc>
          <w:tcPr>
            <w:tcW w:w="1567" w:type="dxa"/>
            <w:vAlign w:val="center"/>
          </w:tcPr>
          <w:p w14:paraId="675C131F">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姓名</w:t>
            </w:r>
          </w:p>
        </w:tc>
        <w:tc>
          <w:tcPr>
            <w:tcW w:w="1017" w:type="dxa"/>
            <w:vAlign w:val="center"/>
          </w:tcPr>
          <w:p w14:paraId="49115049">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性别</w:t>
            </w:r>
          </w:p>
        </w:tc>
        <w:tc>
          <w:tcPr>
            <w:tcW w:w="1002" w:type="dxa"/>
            <w:vAlign w:val="center"/>
          </w:tcPr>
          <w:p w14:paraId="13AA993F">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年龄</w:t>
            </w:r>
          </w:p>
        </w:tc>
        <w:tc>
          <w:tcPr>
            <w:tcW w:w="1551" w:type="dxa"/>
            <w:vAlign w:val="center"/>
          </w:tcPr>
          <w:p w14:paraId="58D97381">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职称</w:t>
            </w:r>
          </w:p>
        </w:tc>
        <w:tc>
          <w:tcPr>
            <w:tcW w:w="1926" w:type="dxa"/>
            <w:vAlign w:val="center"/>
          </w:tcPr>
          <w:p w14:paraId="75D88873">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备注</w:t>
            </w:r>
          </w:p>
        </w:tc>
      </w:tr>
      <w:tr w14:paraId="1D0AC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28094B6E">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939" w:type="dxa"/>
            <w:vAlign w:val="center"/>
          </w:tcPr>
          <w:p w14:paraId="65F5AC9C">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67" w:type="dxa"/>
            <w:vAlign w:val="center"/>
          </w:tcPr>
          <w:p w14:paraId="21B2B0F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483DFDBD">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C86FD04">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60B79C8B">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65CF4D1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3E842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center"/>
          </w:tcPr>
          <w:p w14:paraId="34BB48C9">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939" w:type="dxa"/>
            <w:vAlign w:val="center"/>
          </w:tcPr>
          <w:p w14:paraId="7EDE3D2A">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p>
        </w:tc>
        <w:tc>
          <w:tcPr>
            <w:tcW w:w="1567" w:type="dxa"/>
            <w:vAlign w:val="center"/>
          </w:tcPr>
          <w:p w14:paraId="1BE4C72F">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A6E7FDB">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303215A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D06DE8B">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614AFA0">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18BAE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07B5F897">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1939" w:type="dxa"/>
            <w:vAlign w:val="center"/>
          </w:tcPr>
          <w:p w14:paraId="06982803">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专职安全员</w:t>
            </w:r>
          </w:p>
        </w:tc>
        <w:tc>
          <w:tcPr>
            <w:tcW w:w="1567" w:type="dxa"/>
            <w:vAlign w:val="center"/>
          </w:tcPr>
          <w:p w14:paraId="72593DF5">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39D9509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AC72E8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A3EEA5E">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7AE60804">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68DBA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7BF43C4C">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939" w:type="dxa"/>
            <w:vAlign w:val="center"/>
          </w:tcPr>
          <w:p w14:paraId="7D74D41A">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施工员</w:t>
            </w:r>
          </w:p>
        </w:tc>
        <w:tc>
          <w:tcPr>
            <w:tcW w:w="1567" w:type="dxa"/>
            <w:vAlign w:val="center"/>
          </w:tcPr>
          <w:p w14:paraId="317733B9">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66D58A7D">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43987053">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63BE718F">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6B4EF06A">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17C42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42F117A1">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939" w:type="dxa"/>
            <w:vAlign w:val="center"/>
          </w:tcPr>
          <w:p w14:paraId="7DB4E3A9">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质量员</w:t>
            </w:r>
          </w:p>
        </w:tc>
        <w:tc>
          <w:tcPr>
            <w:tcW w:w="1567" w:type="dxa"/>
            <w:vAlign w:val="center"/>
          </w:tcPr>
          <w:p w14:paraId="052B3B7A">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1674026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183C5C5B">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58DC6F51">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FC66B3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37A44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7D9E641E">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p>
        </w:tc>
        <w:tc>
          <w:tcPr>
            <w:tcW w:w="1939" w:type="dxa"/>
            <w:vAlign w:val="center"/>
          </w:tcPr>
          <w:p w14:paraId="13182D45">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材料员</w:t>
            </w:r>
          </w:p>
        </w:tc>
        <w:tc>
          <w:tcPr>
            <w:tcW w:w="1567" w:type="dxa"/>
            <w:vAlign w:val="center"/>
          </w:tcPr>
          <w:p w14:paraId="578D3C8B">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9F8C13C">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6038E276">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CFD5D3C">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1C265BC">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5716E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781375FC">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939" w:type="dxa"/>
            <w:vAlign w:val="center"/>
          </w:tcPr>
          <w:p w14:paraId="3A2332FB">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资料员</w:t>
            </w:r>
          </w:p>
        </w:tc>
        <w:tc>
          <w:tcPr>
            <w:tcW w:w="1567" w:type="dxa"/>
            <w:vAlign w:val="center"/>
          </w:tcPr>
          <w:p w14:paraId="59D238EE">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716AFFA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FB32F35">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FBFD45E">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2EABF1C6">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r w14:paraId="7F9E9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center"/>
          </w:tcPr>
          <w:p w14:paraId="7B59858B">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939" w:type="dxa"/>
            <w:vAlign w:val="center"/>
          </w:tcPr>
          <w:p w14:paraId="14890ED4">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567" w:type="dxa"/>
            <w:vAlign w:val="center"/>
          </w:tcPr>
          <w:p w14:paraId="3E9440BE">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FA0A1AE">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528A0C41">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560339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25BFBA79">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spacing w:val="0"/>
                <w:sz w:val="24"/>
                <w:szCs w:val="24"/>
                <w:highlight w:val="none"/>
              </w:rPr>
            </w:pPr>
          </w:p>
        </w:tc>
      </w:tr>
    </w:tbl>
    <w:p w14:paraId="05CE0C4F">
      <w:pPr>
        <w:pStyle w:val="6"/>
        <w:keepNext w:val="0"/>
        <w:keepLines w:val="0"/>
        <w:pageBreakBefore w:val="0"/>
        <w:kinsoku/>
        <w:wordWrap w:val="0"/>
        <w:overflowPunct/>
        <w:topLinePunct/>
        <w:bidi w:val="0"/>
        <w:spacing w:line="395" w:lineRule="auto"/>
        <w:rPr>
          <w:rFonts w:hint="eastAsia" w:ascii="宋体" w:hAnsi="宋体" w:eastAsia="宋体" w:cs="宋体"/>
          <w:color w:val="auto"/>
          <w:spacing w:val="0"/>
          <w:sz w:val="24"/>
          <w:szCs w:val="24"/>
          <w:highlight w:val="none"/>
        </w:rPr>
      </w:pPr>
    </w:p>
    <w:p w14:paraId="36DACD20">
      <w:pPr>
        <w:keepNext w:val="0"/>
        <w:keepLines w:val="0"/>
        <w:pageBreakBefore w:val="0"/>
        <w:widowControl/>
        <w:kinsoku/>
        <w:wordWrap w:val="0"/>
        <w:overflowPunct/>
        <w:topLinePunct/>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w:t>
      </w:r>
    </w:p>
    <w:p w14:paraId="22144701">
      <w:pPr>
        <w:keepNext w:val="0"/>
        <w:keepLines w:val="0"/>
        <w:pageBreakBefore w:val="0"/>
        <w:widowControl/>
        <w:kinsoku/>
        <w:wordWrap w:val="0"/>
        <w:overflowPunct/>
        <w:topLinePunct/>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．《项目管理机构组成表》后应附表中拟派人员（项目经理、项目技术负责人除外）以下资料：</w:t>
      </w:r>
    </w:p>
    <w:p w14:paraId="4A66A857">
      <w:pPr>
        <w:keepNext w:val="0"/>
        <w:keepLines w:val="0"/>
        <w:pageBreakBefore w:val="0"/>
        <w:widowControl/>
        <w:kinsoku/>
        <w:wordWrap w:val="0"/>
        <w:overflowPunct/>
        <w:topLinePunct/>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身份证彩色扫描件；</w:t>
      </w:r>
    </w:p>
    <w:p w14:paraId="2EB71E9C">
      <w:pPr>
        <w:keepNext w:val="0"/>
        <w:keepLines w:val="0"/>
        <w:pageBreakBefore w:val="0"/>
        <w:widowControl/>
        <w:kinsoku/>
        <w:wordWrap w:val="0"/>
        <w:overflowPunct/>
        <w:topLinePunct/>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职称证或岗位证书彩色扫描件；</w:t>
      </w:r>
    </w:p>
    <w:p w14:paraId="754030F5">
      <w:pPr>
        <w:keepNext w:val="0"/>
        <w:keepLines w:val="0"/>
        <w:pageBreakBefore w:val="0"/>
        <w:widowControl/>
        <w:kinsoku/>
        <w:wordWrap w:val="0"/>
        <w:overflowPunct/>
        <w:topLinePunct/>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个月，其中必须有2026年</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。拟派</w:t>
      </w:r>
      <w:r>
        <w:rPr>
          <w:rFonts w:hint="eastAsia" w:ascii="宋体" w:hAnsi="宋体" w:eastAsia="宋体" w:cs="宋体"/>
          <w:color w:val="auto"/>
          <w:spacing w:val="0"/>
          <w:sz w:val="24"/>
          <w:szCs w:val="24"/>
          <w:highlight w:val="none"/>
          <w:lang w:val="en-US" w:eastAsia="zh-CN"/>
        </w:rPr>
        <w:t>人员</w:t>
      </w:r>
      <w:r>
        <w:rPr>
          <w:rFonts w:hint="eastAsia" w:ascii="宋体" w:hAnsi="宋体" w:eastAsia="宋体" w:cs="宋体"/>
          <w:color w:val="auto"/>
          <w:spacing w:val="0"/>
          <w:sz w:val="24"/>
          <w:szCs w:val="24"/>
          <w:highlight w:val="none"/>
        </w:rPr>
        <w:t>为退休返聘人员无法提供社保证明的，提供退休证和劳动合同彩色扫描件。</w:t>
      </w:r>
    </w:p>
    <w:p w14:paraId="2A74887F">
      <w:pPr>
        <w:keepNext w:val="0"/>
        <w:keepLines w:val="0"/>
        <w:pageBreakBefore w:val="0"/>
        <w:widowControl/>
        <w:kinsoku/>
        <w:wordWrap w:val="0"/>
        <w:overflowPunct/>
        <w:topLinePunct/>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）“进粤企业和人员诚信信息登记平台”个人信息情况截图。（适用于省外建筑企业）</w:t>
      </w:r>
    </w:p>
    <w:p w14:paraId="7D538F80">
      <w:pPr>
        <w:keepNext w:val="0"/>
        <w:keepLines w:val="0"/>
        <w:pageBreakBefore w:val="0"/>
        <w:kinsoku/>
        <w:wordWrap w:val="0"/>
        <w:overflowPunct/>
        <w:topLinePunct/>
        <w:bidi w:val="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br w:type="page"/>
      </w:r>
    </w:p>
    <w:p w14:paraId="21766928">
      <w:pPr>
        <w:keepNext w:val="0"/>
        <w:keepLines w:val="0"/>
        <w:pageBreakBefore w:val="0"/>
        <w:kinsoku/>
        <w:wordWrap w:val="0"/>
        <w:overflowPunct/>
        <w:topLinePunct/>
        <w:bidi w:val="0"/>
        <w:spacing w:before="78" w:line="220" w:lineRule="auto"/>
        <w:outlineLvl w:val="2"/>
        <w:rPr>
          <w:rFonts w:hint="eastAsia" w:ascii="宋体" w:hAnsi="宋体" w:eastAsia="宋体" w:cs="宋体"/>
          <w:b/>
          <w:bCs/>
          <w:color w:val="auto"/>
          <w:spacing w:val="0"/>
          <w:sz w:val="24"/>
          <w:szCs w:val="24"/>
          <w:highlight w:val="none"/>
          <w:lang w:eastAsia="zh-CN"/>
        </w:rPr>
      </w:pPr>
      <w:bookmarkStart w:id="222" w:name="_Toc9069"/>
      <w:r>
        <w:rPr>
          <w:rFonts w:hint="eastAsia" w:ascii="宋体" w:hAnsi="宋体" w:eastAsia="宋体" w:cs="宋体"/>
          <w:b/>
          <w:bCs/>
          <w:color w:val="auto"/>
          <w:spacing w:val="0"/>
          <w:sz w:val="24"/>
          <w:szCs w:val="24"/>
          <w:highlight w:val="none"/>
          <w:lang w:eastAsia="zh-CN"/>
        </w:rPr>
        <w:t>格式十</w:t>
      </w:r>
      <w:r>
        <w:rPr>
          <w:rFonts w:hint="eastAsia" w:ascii="宋体" w:hAnsi="宋体" w:eastAsia="宋体" w:cs="宋体"/>
          <w:b/>
          <w:bCs/>
          <w:color w:val="auto"/>
          <w:spacing w:val="0"/>
          <w:sz w:val="24"/>
          <w:szCs w:val="24"/>
          <w:highlight w:val="none"/>
          <w:lang w:val="en-US" w:eastAsia="zh-CN"/>
        </w:rPr>
        <w:t>二</w:t>
      </w:r>
      <w:r>
        <w:rPr>
          <w:rFonts w:hint="eastAsia" w:ascii="宋体" w:hAnsi="宋体" w:eastAsia="宋体" w:cs="宋体"/>
          <w:b/>
          <w:bCs/>
          <w:color w:val="auto"/>
          <w:spacing w:val="0"/>
          <w:sz w:val="24"/>
          <w:szCs w:val="24"/>
          <w:highlight w:val="none"/>
          <w:lang w:eastAsia="zh-CN"/>
        </w:rPr>
        <w:t xml:space="preserve"> 建造师查询页（有效期+建造师签字）</w:t>
      </w:r>
      <w:bookmarkEnd w:id="222"/>
    </w:p>
    <w:p w14:paraId="30A0BD39">
      <w:pPr>
        <w:keepNext w:val="0"/>
        <w:keepLines w:val="0"/>
        <w:pageBreakBefore w:val="0"/>
        <w:kinsoku/>
        <w:wordWrap w:val="0"/>
        <w:overflowPunct/>
        <w:topLinePunct/>
        <w:bidi w:val="0"/>
        <w:spacing w:before="78" w:line="220" w:lineRule="auto"/>
        <w:outlineLvl w:val="2"/>
        <w:rPr>
          <w:rFonts w:hint="eastAsia" w:ascii="宋体" w:hAnsi="宋体" w:eastAsia="宋体" w:cs="宋体"/>
          <w:b/>
          <w:bCs/>
          <w:color w:val="auto"/>
          <w:spacing w:val="0"/>
          <w:sz w:val="24"/>
          <w:szCs w:val="24"/>
          <w:highlight w:val="none"/>
          <w:lang w:eastAsia="zh-CN"/>
        </w:rPr>
      </w:pPr>
    </w:p>
    <w:p w14:paraId="3E58FC56">
      <w:pPr>
        <w:keepNext w:val="0"/>
        <w:keepLines w:val="0"/>
        <w:pageBreakBefore w:val="0"/>
        <w:widowControl/>
        <w:kinsoku/>
        <w:wordWrap w:val="0"/>
        <w:overflowPunct/>
        <w:topLinePunct/>
        <w:autoSpaceDE w:val="0"/>
        <w:autoSpaceDN w:val="0"/>
        <w:bidi w:val="0"/>
        <w:adjustRightInd/>
        <w:snapToGrid/>
        <w:spacing w:line="240" w:lineRule="auto"/>
        <w:ind w:right="0"/>
        <w:jc w:val="center"/>
        <w:textAlignment w:val="baseline"/>
        <w:rPr>
          <w:rFonts w:hint="eastAsia" w:ascii="宋体" w:hAnsi="宋体" w:eastAsia="宋体" w:cs="宋体"/>
          <w:color w:val="auto"/>
          <w:spacing w:val="0"/>
          <w:sz w:val="24"/>
          <w:szCs w:val="24"/>
          <w:highlight w:val="none"/>
        </w:rPr>
      </w:pPr>
      <w:r>
        <w:rPr>
          <w:color w:val="auto"/>
          <w:spacing w:val="0"/>
          <w:sz w:val="20"/>
          <w:highlight w:val="none"/>
        </w:rPr>
        <w:drawing>
          <wp:inline distT="0" distB="0" distL="0" distR="0">
            <wp:extent cx="5236210" cy="8225790"/>
            <wp:effectExtent l="0" t="0" r="6350" b="3810"/>
            <wp:docPr id="169" name="Image 169"/>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53" cstate="print"/>
                    <a:stretch>
                      <a:fillRect/>
                    </a:stretch>
                  </pic:blipFill>
                  <pic:spPr>
                    <a:xfrm>
                      <a:off x="0" y="0"/>
                      <a:ext cx="5236210" cy="8225790"/>
                    </a:xfrm>
                    <a:prstGeom prst="rect">
                      <a:avLst/>
                    </a:prstGeom>
                  </pic:spPr>
                </pic:pic>
              </a:graphicData>
            </a:graphic>
          </wp:inline>
        </w:drawing>
      </w:r>
    </w:p>
    <w:p w14:paraId="319A6AF4">
      <w:pPr>
        <w:keepNext w:val="0"/>
        <w:keepLines w:val="0"/>
        <w:pageBreakBefore w:val="0"/>
        <w:kinsoku/>
        <w:wordWrap w:val="0"/>
        <w:overflowPunct/>
        <w:topLinePunct/>
        <w:bidi w:val="0"/>
        <w:outlineLvl w:val="9"/>
        <w:rPr>
          <w:rFonts w:hint="eastAsia" w:ascii="宋体" w:hAnsi="宋体" w:eastAsia="宋体" w:cs="宋体"/>
          <w:color w:val="auto"/>
          <w:spacing w:val="0"/>
          <w:highlight w:val="none"/>
        </w:rPr>
      </w:pPr>
    </w:p>
    <w:p w14:paraId="2490A409">
      <w:pPr>
        <w:keepNext w:val="0"/>
        <w:keepLines w:val="0"/>
        <w:pageBreakBefore w:val="0"/>
        <w:kinsoku/>
        <w:wordWrap w:val="0"/>
        <w:overflowPunct/>
        <w:topLinePunct/>
        <w:bidi w:val="0"/>
        <w:spacing w:line="220" w:lineRule="auto"/>
        <w:rPr>
          <w:rFonts w:hint="eastAsia" w:ascii="宋体" w:hAnsi="宋体" w:eastAsia="宋体" w:cs="宋体"/>
          <w:color w:val="auto"/>
          <w:spacing w:val="0"/>
          <w:sz w:val="24"/>
          <w:szCs w:val="24"/>
          <w:highlight w:val="none"/>
        </w:rPr>
        <w:sectPr>
          <w:footerReference r:id="rId20"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3316377A">
      <w:pPr>
        <w:keepNext w:val="0"/>
        <w:keepLines w:val="0"/>
        <w:pageBreakBefore w:val="0"/>
        <w:kinsoku/>
        <w:wordWrap w:val="0"/>
        <w:overflowPunct/>
        <w:topLinePunct/>
        <w:bidi w:val="0"/>
        <w:spacing w:line="240" w:lineRule="auto"/>
        <w:rPr>
          <w:rFonts w:hint="eastAsia" w:ascii="宋体" w:hAnsi="宋体" w:eastAsia="宋体" w:cs="宋体"/>
          <w:color w:val="auto"/>
          <w:spacing w:val="0"/>
          <w:highlight w:val="none"/>
        </w:rPr>
      </w:pPr>
      <w:r>
        <w:rPr>
          <w:rFonts w:hint="eastAsia" w:ascii="宋体" w:hAnsi="宋体" w:eastAsia="宋体" w:cs="宋体"/>
          <w:color w:val="auto"/>
          <w:spacing w:val="0"/>
          <w:position w:val="-214"/>
          <w:highlight w:val="none"/>
        </w:rPr>
        <w:drawing>
          <wp:inline distT="0" distB="0" distL="114300" distR="114300">
            <wp:extent cx="5970270" cy="6744970"/>
            <wp:effectExtent l="0" t="0" r="3810" b="635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4"/>
                    <a:stretch>
                      <a:fillRect/>
                    </a:stretch>
                  </pic:blipFill>
                  <pic:spPr>
                    <a:xfrm>
                      <a:off x="0" y="0"/>
                      <a:ext cx="5970270" cy="6744970"/>
                    </a:xfrm>
                    <a:prstGeom prst="rect">
                      <a:avLst/>
                    </a:prstGeom>
                    <a:noFill/>
                    <a:ln>
                      <a:noFill/>
                    </a:ln>
                  </pic:spPr>
                </pic:pic>
              </a:graphicData>
            </a:graphic>
          </wp:inline>
        </w:drawing>
      </w:r>
    </w:p>
    <w:p w14:paraId="1EB57B5F">
      <w:pPr>
        <w:keepNext w:val="0"/>
        <w:keepLines w:val="0"/>
        <w:pageBreakBefore w:val="0"/>
        <w:kinsoku/>
        <w:wordWrap w:val="0"/>
        <w:overflowPunct/>
        <w:topLinePunct/>
        <w:bidi w:val="0"/>
        <w:spacing w:line="10744" w:lineRule="exact"/>
        <w:rPr>
          <w:rFonts w:hint="eastAsia" w:ascii="宋体" w:hAnsi="宋体" w:eastAsia="宋体" w:cs="宋体"/>
          <w:color w:val="auto"/>
          <w:spacing w:val="0"/>
          <w:highlight w:val="none"/>
        </w:rPr>
        <w:sectPr>
          <w:footerReference r:id="rId21"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06B5882F">
      <w:pPr>
        <w:keepNext w:val="0"/>
        <w:keepLines w:val="0"/>
        <w:pageBreakBefore w:val="0"/>
        <w:kinsoku/>
        <w:wordWrap w:val="0"/>
        <w:overflowPunct/>
        <w:topLinePunct/>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val="en-US" w:eastAsia="zh-CN"/>
        </w:rPr>
        <w:t>三</w:t>
      </w:r>
      <w:r>
        <w:rPr>
          <w:rFonts w:hint="eastAsia" w:ascii="宋体" w:hAnsi="宋体" w:eastAsia="宋体" w:cs="宋体"/>
          <w:b/>
          <w:bCs/>
          <w:color w:val="auto"/>
          <w:spacing w:val="0"/>
          <w:sz w:val="24"/>
          <w:szCs w:val="24"/>
          <w:highlight w:val="none"/>
        </w:rPr>
        <w:t xml:space="preserve"> 危险性较大的分部分项工程清单及超过一定规模的危险性较大的分部分项工程清单</w:t>
      </w:r>
    </w:p>
    <w:p w14:paraId="5E7641FC">
      <w:pPr>
        <w:keepNext w:val="0"/>
        <w:keepLines w:val="0"/>
        <w:pageBreakBefore w:val="0"/>
        <w:kinsoku/>
        <w:wordWrap w:val="0"/>
        <w:overflowPunct/>
        <w:topLinePunct/>
        <w:bidi w:val="0"/>
        <w:spacing w:before="78" w:line="220" w:lineRule="auto"/>
        <w:jc w:val="both"/>
        <w:outlineLvl w:val="2"/>
        <w:rPr>
          <w:rFonts w:hint="eastAsia" w:ascii="宋体" w:hAnsi="宋体" w:eastAsia="宋体" w:cs="宋体"/>
          <w:b/>
          <w:bCs/>
          <w:color w:val="auto"/>
          <w:spacing w:val="0"/>
          <w:sz w:val="24"/>
          <w:szCs w:val="24"/>
          <w:highlight w:val="none"/>
        </w:rPr>
      </w:pPr>
    </w:p>
    <w:p w14:paraId="11BD8A69">
      <w:pPr>
        <w:keepNext w:val="0"/>
        <w:keepLines w:val="0"/>
        <w:pageBreakBefore w:val="0"/>
        <w:kinsoku/>
        <w:wordWrap w:val="0"/>
        <w:overflowPunct/>
        <w:topLinePunct/>
        <w:bidi w:val="0"/>
        <w:spacing w:before="78" w:line="220" w:lineRule="auto"/>
        <w:jc w:val="center"/>
        <w:outlineLvl w:val="2"/>
        <w:rPr>
          <w:rFonts w:hint="eastAsia" w:ascii="宋体" w:hAnsi="宋体" w:eastAsia="宋体" w:cs="宋体"/>
          <w:b/>
          <w:bCs/>
          <w:color w:val="auto"/>
          <w:spacing w:val="0"/>
          <w:sz w:val="32"/>
          <w:szCs w:val="32"/>
          <w:highlight w:val="none"/>
        </w:rPr>
      </w:pPr>
      <w:bookmarkStart w:id="223" w:name="_Toc20203"/>
      <w:r>
        <w:rPr>
          <w:rFonts w:hint="eastAsia" w:ascii="宋体" w:hAnsi="宋体" w:eastAsia="宋体" w:cs="宋体"/>
          <w:b/>
          <w:bCs/>
          <w:color w:val="auto"/>
          <w:spacing w:val="0"/>
          <w:sz w:val="32"/>
          <w:szCs w:val="32"/>
          <w:highlight w:val="none"/>
        </w:rPr>
        <w:t>危险性较大的分部分项工程清单及超过一定规模的危险性较大的分部分项工程清单</w:t>
      </w:r>
      <w:bookmarkEnd w:id="223"/>
    </w:p>
    <w:p w14:paraId="50BF9137">
      <w:pPr>
        <w:rPr>
          <w:rFonts w:hint="eastAsia" w:ascii="宋体" w:hAnsi="宋体" w:eastAsia="宋体" w:cs="宋体"/>
          <w:b/>
          <w:bCs/>
          <w:color w:val="auto"/>
          <w:spacing w:val="0"/>
          <w:sz w:val="24"/>
          <w:szCs w:val="24"/>
          <w:highlight w:val="none"/>
        </w:rPr>
      </w:pPr>
    </w:p>
    <w:p w14:paraId="4C2AD541">
      <w:pPr>
        <w:keepNext w:val="0"/>
        <w:keepLines w:val="0"/>
        <w:widowControl w:val="0"/>
        <w:suppressLineNumbers w:val="0"/>
        <w:kinsoku/>
        <w:autoSpaceDE w:val="0"/>
        <w:autoSpaceDN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snapToGrid/>
          <w:color w:val="auto"/>
          <w:kern w:val="2"/>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1、根据中华人民共和国住房和城乡建设部令第37号《危险性较大的分部分项工程安全管理规定》（以下简称“37号文”），投标人在投标时须补充完善危大工程清单并明确相应的安全管理措施。</w:t>
      </w:r>
    </w:p>
    <w:p w14:paraId="1BAF41DB">
      <w:pPr>
        <w:keepNext w:val="0"/>
        <w:keepLines w:val="0"/>
        <w:widowControl w:val="0"/>
        <w:suppressLineNumbers w:val="0"/>
        <w:kinsoku/>
        <w:autoSpaceDE w:val="0"/>
        <w:autoSpaceDN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snapToGrid/>
          <w:color w:val="auto"/>
          <w:kern w:val="2"/>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2、招标人根据设计文件的要求及37号文、粤建规范〔2019〕2号文的规定列出“危险性较大的分部分项工程清单及超过一定规模的危险性较大的分部分项工程清单”中与本招标项目相关的清单项，具体详见第5点“打√”标识。</w:t>
      </w:r>
    </w:p>
    <w:p w14:paraId="189654E6">
      <w:pPr>
        <w:keepNext w:val="0"/>
        <w:keepLines w:val="0"/>
        <w:widowControl w:val="0"/>
        <w:suppressLineNumbers w:val="0"/>
        <w:kinsoku/>
        <w:autoSpaceDE w:val="0"/>
        <w:autoSpaceDN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snapToGrid/>
          <w:color w:val="auto"/>
          <w:kern w:val="2"/>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（1）投标单位同意建设单位在清单中标识的该项请在对应项打“√”标识，并与投标文件中提供相应的安全管理措施。</w:t>
      </w:r>
    </w:p>
    <w:p w14:paraId="3ED001A9">
      <w:pPr>
        <w:keepNext w:val="0"/>
        <w:keepLines w:val="0"/>
        <w:widowControl w:val="0"/>
        <w:suppressLineNumbers w:val="0"/>
        <w:kinsoku/>
        <w:autoSpaceDE w:val="0"/>
        <w:autoSpaceDN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snapToGrid/>
          <w:color w:val="auto"/>
          <w:kern w:val="2"/>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（2）投标单位对清单中认为需要补充的该项请在对应项打“√”标识，并与投标文件中提供相应的安全管理措施。</w:t>
      </w:r>
    </w:p>
    <w:p w14:paraId="4ED82102">
      <w:pPr>
        <w:keepNext w:val="0"/>
        <w:keepLines w:val="0"/>
        <w:widowControl w:val="0"/>
        <w:suppressLineNumbers w:val="0"/>
        <w:kinsoku/>
        <w:autoSpaceDE w:val="0"/>
        <w:autoSpaceDN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snapToGrid/>
          <w:color w:val="auto"/>
          <w:kern w:val="2"/>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（3）投标单位不同意建设单位在清单中标识的该项请在对应项打“×”标识，并在备注栏填上相关说明。</w:t>
      </w:r>
    </w:p>
    <w:p w14:paraId="40BD2474">
      <w:pPr>
        <w:keepNext w:val="0"/>
        <w:keepLines w:val="0"/>
        <w:widowControl w:val="0"/>
        <w:suppressLineNumbers w:val="0"/>
        <w:kinsoku/>
        <w:autoSpaceDE w:val="0"/>
        <w:autoSpaceDN w:val="0"/>
        <w:adjustRightInd/>
        <w:snapToGrid/>
        <w:spacing w:before="0" w:beforeAutospacing="0" w:after="0" w:afterAutospacing="0" w:line="360" w:lineRule="auto"/>
        <w:ind w:left="0" w:right="0" w:firstLine="482" w:firstLineChars="200"/>
        <w:jc w:val="left"/>
        <w:textAlignment w:val="auto"/>
        <w:rPr>
          <w:rFonts w:hint="eastAsia" w:ascii="宋体" w:hAnsi="宋体" w:eastAsia="宋体" w:cs="宋体"/>
          <w:b/>
          <w:bCs w:val="0"/>
          <w:snapToGrid/>
          <w:color w:val="auto"/>
          <w:kern w:val="2"/>
          <w:szCs w:val="24"/>
          <w:highlight w:val="none"/>
          <w:u w:val="single"/>
          <w:lang w:val="en-US" w:eastAsia="zh-CN"/>
        </w:rPr>
      </w:pPr>
      <w:r>
        <w:rPr>
          <w:rFonts w:hint="eastAsia" w:ascii="宋体" w:hAnsi="宋体" w:eastAsia="宋体" w:cs="宋体"/>
          <w:b/>
          <w:bCs w:val="0"/>
          <w:snapToGrid/>
          <w:color w:val="auto"/>
          <w:kern w:val="2"/>
          <w:sz w:val="24"/>
          <w:szCs w:val="24"/>
          <w:highlight w:val="none"/>
          <w:u w:val="single"/>
          <w:lang w:val="en-US" w:eastAsia="zh-CN" w:bidi="ar"/>
        </w:rPr>
        <w:t>3、投标单位应当在投标时根据招标人提供的下述第5点清单，在投标施工组织中回应建设单位提供的危大工程清单，补充相应的安全管理措施。（为减轻标书编制的工作量，投标单位回应的危大工程清单提供相应的安全管理措施的页数应控制在3页内）</w:t>
      </w:r>
    </w:p>
    <w:p w14:paraId="0D6DB413">
      <w:pPr>
        <w:keepNext w:val="0"/>
        <w:keepLines w:val="0"/>
        <w:widowControl w:val="0"/>
        <w:suppressLineNumbers w:val="0"/>
        <w:kinsoku/>
        <w:autoSpaceDE w:val="0"/>
        <w:autoSpaceDN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snapToGrid/>
          <w:color w:val="auto"/>
          <w:kern w:val="2"/>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4、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5A145125">
      <w:pPr>
        <w:keepNext w:val="0"/>
        <w:keepLines w:val="0"/>
        <w:widowControl w:val="0"/>
        <w:suppressLineNumbers w:val="0"/>
        <w:kinsoku/>
        <w:autoSpaceDE/>
        <w:autoSpaceDN/>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snapToGrid/>
          <w:color w:val="auto"/>
          <w:kern w:val="2"/>
          <w:sz w:val="24"/>
          <w:szCs w:val="24"/>
          <w:highlight w:val="none"/>
          <w:lang w:val="en-US" w:eastAsia="zh-CN" w:bidi="ar"/>
        </w:rPr>
      </w:pPr>
      <w:r>
        <w:rPr>
          <w:rFonts w:hint="eastAsia" w:ascii="宋体" w:hAnsi="宋体" w:eastAsia="宋体" w:cs="宋体"/>
          <w:snapToGrid/>
          <w:color w:val="auto"/>
          <w:kern w:val="2"/>
          <w:sz w:val="24"/>
          <w:szCs w:val="24"/>
          <w:highlight w:val="none"/>
          <w:lang w:val="en-US" w:eastAsia="zh-CN" w:bidi="ar"/>
        </w:rPr>
        <w:t>5、危险性较大的分部分项工程清单及超过一定规模的危险性较大的分部分项工程清单：</w:t>
      </w:r>
    </w:p>
    <w:tbl>
      <w:tblPr>
        <w:tblStyle w:val="16"/>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30"/>
        <w:gridCol w:w="1473"/>
        <w:gridCol w:w="1473"/>
        <w:gridCol w:w="1150"/>
      </w:tblGrid>
      <w:tr w14:paraId="41A6A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221CC55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
                <w:bCs w:val="0"/>
                <w:snapToGrid/>
                <w:color w:val="auto"/>
                <w:kern w:val="2"/>
                <w:sz w:val="24"/>
                <w:szCs w:val="24"/>
                <w:highlight w:val="none"/>
                <w:lang w:val="en-US" w:eastAsia="zh-CN"/>
              </w:rPr>
            </w:pPr>
            <w:r>
              <w:rPr>
                <w:rFonts w:hint="eastAsia" w:ascii="宋体" w:hAnsi="宋体" w:eastAsia="宋体" w:cs="宋体"/>
                <w:b/>
                <w:bCs w:val="0"/>
                <w:snapToGrid/>
                <w:color w:val="auto"/>
                <w:kern w:val="2"/>
                <w:sz w:val="24"/>
                <w:szCs w:val="24"/>
                <w:highlight w:val="none"/>
                <w:lang w:val="en-US" w:eastAsia="zh-CN" w:bidi="ar"/>
              </w:rPr>
              <w:t>一、危险性较大的分部分项工程清单</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C92D0F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
                <w:bCs w:val="0"/>
                <w:snapToGrid/>
                <w:color w:val="auto"/>
                <w:kern w:val="2"/>
                <w:sz w:val="24"/>
                <w:szCs w:val="24"/>
                <w:highlight w:val="none"/>
                <w:lang w:eastAsia="zh-CN"/>
              </w:rPr>
            </w:pPr>
            <w:r>
              <w:rPr>
                <w:rFonts w:hint="eastAsia" w:ascii="宋体" w:hAnsi="宋体" w:eastAsia="宋体" w:cs="宋体"/>
                <w:b/>
                <w:bCs w:val="0"/>
                <w:snapToGrid/>
                <w:color w:val="auto"/>
                <w:kern w:val="2"/>
                <w:sz w:val="24"/>
                <w:szCs w:val="24"/>
                <w:highlight w:val="none"/>
                <w:lang w:val="en-US" w:eastAsia="zh-CN" w:bidi="ar"/>
              </w:rPr>
              <w:t>建设单位</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79BF94C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
                <w:bCs w:val="0"/>
                <w:snapToGrid/>
                <w:color w:val="auto"/>
                <w:kern w:val="2"/>
                <w:sz w:val="24"/>
                <w:szCs w:val="24"/>
                <w:highlight w:val="none"/>
                <w:lang w:val="en-US" w:eastAsia="zh-CN"/>
              </w:rPr>
            </w:pPr>
            <w:r>
              <w:rPr>
                <w:rFonts w:hint="eastAsia" w:ascii="宋体" w:hAnsi="宋体" w:eastAsia="宋体" w:cs="宋体"/>
                <w:b/>
                <w:bCs w:val="0"/>
                <w:snapToGrid/>
                <w:color w:val="auto"/>
                <w:kern w:val="2"/>
                <w:sz w:val="24"/>
                <w:szCs w:val="24"/>
                <w:highlight w:val="none"/>
                <w:lang w:val="en-US" w:eastAsia="zh-CN" w:bidi="ar"/>
              </w:rPr>
              <w:t>投标单位</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0842A06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241" w:firstLineChars="100"/>
              <w:jc w:val="center"/>
              <w:textAlignment w:val="auto"/>
              <w:rPr>
                <w:rFonts w:hint="eastAsia" w:ascii="宋体" w:hAnsi="宋体" w:eastAsia="宋体" w:cs="宋体"/>
                <w:b/>
                <w:bCs w:val="0"/>
                <w:snapToGrid/>
                <w:color w:val="auto"/>
                <w:kern w:val="2"/>
                <w:sz w:val="24"/>
                <w:szCs w:val="24"/>
                <w:highlight w:val="none"/>
                <w:lang w:eastAsia="zh-CN"/>
              </w:rPr>
            </w:pPr>
            <w:r>
              <w:rPr>
                <w:rFonts w:hint="eastAsia" w:ascii="宋体" w:hAnsi="宋体" w:eastAsia="宋体" w:cs="宋体"/>
                <w:b/>
                <w:bCs w:val="0"/>
                <w:snapToGrid/>
                <w:color w:val="auto"/>
                <w:kern w:val="2"/>
                <w:sz w:val="24"/>
                <w:szCs w:val="24"/>
                <w:highlight w:val="none"/>
                <w:lang w:val="en-US" w:eastAsia="zh-CN" w:bidi="ar"/>
              </w:rPr>
              <w:t>备注</w:t>
            </w:r>
          </w:p>
        </w:tc>
      </w:tr>
      <w:tr w14:paraId="0A33E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19BA620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一、基坑支护</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B3EC49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00597A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7071195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0E64D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51FEF13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（一）开挖深度超过3m（含3m）的基坑（槽）的土方开挖、支护、降水工程。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0C123C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4ECC92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6232DAB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27D96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0247192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（二）开挖深度虽未超过3m，但地质条件、周围环境和地下管线复杂，或影响毗邻建、构筑物安全的基坑（槽）的土方开挖、支护、降水工程。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5646703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10967BB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210FDDE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4F31E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665727E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二、模板工程及支撑体系</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1A05F4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2B899C0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5F54CD9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55B6A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09933E1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（一）各类工具式模板工程：包括滑模、爬模、飞模、隧道模等工程。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C4B388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5DC30A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78AF4A9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26182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21F0C8E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二）混凝土模板支撑工程：搭设高度5m及以上，或搭设跨度10m及以上，或施工总荷载（荷载效应基本组合的设计值，以下简称设计值）10kN/m2及以上，或集中线荷载（设计值）15kN/m及以上，或高度大于支撑水平投影宽度且相对独立无联系构件的混凝土模板支撑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75C61DD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27C47F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565D606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24ABD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59041B2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（三）承重支撑体系：用于钢结构安装等满堂支撑体系。</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2C4BE2F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1F8453B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7A918D3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7B50D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04FF4B0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三、起重吊装及起重机械安装拆卸工程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613730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7F0890C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57F3B8B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3BFF0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0173C6B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（一）采用非常规起重设备、方法，且单件起吊重量在10kN及以上的起重吊装工程。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61947F3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5ABB624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712F2C1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45030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45EB780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（二）采用起重机械进行安装的工程。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2D0F278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6494872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75C2A7D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5F57C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7532D19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（三）起重机械安装和拆卸工程。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6C2233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70C7C7E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22BE4D2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11DCC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6327590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四、脚手架工程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62379B4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B84576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4F9A5FB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0101A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4FCC128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（一）搭设高度24m及以上的落地式钢管脚手架工程（包括采光井、电梯井脚手架）。</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3908C3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655F520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34B932B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4AD43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7BDEBC5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（二）附着式升降脚手架工程。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2459097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BFED6F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0615E23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71953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60611C8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（三）悬挑式脚手架工程。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4354CF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56393AE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6A4DC4C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4815B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053B9C3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（四）高处作业吊篮。</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52F551A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470536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2FEAC38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475B4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0CD99B8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（五）卸料平台、操作平台工程。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5EC7D0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6C9563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19814C5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356BA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140FF4A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（六）异型脚手架工程。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74A0F02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29EAC16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58FD8C6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51FB5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0FBE996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五、拆除工程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895696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6EF5021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7F26626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3D040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2570554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可能影响行人、交通、电力设施、通讯设施或其它建、构筑物安全的拆除工程。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B6D434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50FCD9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1916571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25892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2355AD6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六、暗挖工程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1062F2D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10413DE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7A5FFC9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0FB58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658AB8F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采用矿山法、盾构法、顶管法施工的隧道、洞室工程。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52B308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2526653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351809B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3B388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4825109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七、其它</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280957A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16274A3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18BE5A8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6160F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7CF8FBB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（一）建筑幕墙安装工程。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792374F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F7DE72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2C7C87F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5BF65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5CAD8AF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（二）钢结构、网架和索膜结构安装工程。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B1E5B2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2D285FE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75E4A3D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65B53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06FB2D6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（三）人工挖孔桩工程。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1275DE7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1257EC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302F6FE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707CD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2D6A9D2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（四）水下作业工程。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C46588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25A32B5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7D9D74A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6B2D0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5509BA9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（五）装配式建筑混凝土预制构件安装工程。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3B9DFE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677DF15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398E94E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5DAE8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3FA507E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（六）采用新技术、新工艺、新材料、新设备可能影响工程施工安全，尚无国家、行业及地方技术标准的分部分项工程。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1A5C2E2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539A802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4727073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3E52B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4CE1208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b/>
                <w:bCs/>
                <w:snapToGrid/>
                <w:color w:val="auto"/>
                <w:kern w:val="2"/>
                <w:sz w:val="24"/>
                <w:szCs w:val="24"/>
                <w:highlight w:val="none"/>
                <w:lang w:val="en-US" w:eastAsia="zh-CN"/>
              </w:rPr>
            </w:pPr>
            <w:r>
              <w:rPr>
                <w:rFonts w:hint="eastAsia" w:ascii="宋体" w:hAnsi="宋体" w:eastAsia="宋体" w:cs="宋体"/>
                <w:b/>
                <w:bCs/>
                <w:snapToGrid/>
                <w:color w:val="auto"/>
                <w:kern w:val="2"/>
                <w:sz w:val="24"/>
                <w:szCs w:val="24"/>
                <w:highlight w:val="none"/>
                <w:lang w:val="en-US" w:eastAsia="zh-CN" w:bidi="ar"/>
              </w:rPr>
              <w:t>二、超过一定规模的危险性较大的分部分项工程清单</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7178D20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
                <w:bCs/>
                <w:snapToGrid/>
                <w:color w:val="auto"/>
                <w:kern w:val="2"/>
                <w:sz w:val="24"/>
                <w:szCs w:val="24"/>
                <w:highlight w:val="none"/>
                <w:lang w:val="en-US" w:eastAsia="zh-CN"/>
              </w:rPr>
            </w:pPr>
            <w:r>
              <w:rPr>
                <w:rFonts w:hint="eastAsia" w:ascii="宋体" w:hAnsi="宋体" w:eastAsia="宋体" w:cs="宋体"/>
                <w:b/>
                <w:bCs/>
                <w:snapToGrid/>
                <w:color w:val="auto"/>
                <w:kern w:val="2"/>
                <w:sz w:val="24"/>
                <w:szCs w:val="24"/>
                <w:highlight w:val="none"/>
                <w:lang w:val="en-US" w:eastAsia="zh-CN" w:bidi="ar"/>
              </w:rPr>
              <w:t>建设单位</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01EBC0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
                <w:bCs/>
                <w:snapToGrid/>
                <w:color w:val="auto"/>
                <w:kern w:val="2"/>
                <w:sz w:val="24"/>
                <w:szCs w:val="24"/>
                <w:highlight w:val="none"/>
                <w:lang w:val="en-US" w:eastAsia="zh-CN"/>
              </w:rPr>
            </w:pPr>
            <w:r>
              <w:rPr>
                <w:rFonts w:hint="eastAsia" w:ascii="宋体" w:hAnsi="宋体" w:eastAsia="宋体" w:cs="宋体"/>
                <w:b/>
                <w:bCs/>
                <w:snapToGrid/>
                <w:color w:val="auto"/>
                <w:kern w:val="2"/>
                <w:sz w:val="24"/>
                <w:szCs w:val="24"/>
                <w:highlight w:val="none"/>
                <w:lang w:val="en-US" w:eastAsia="zh-CN" w:bidi="ar"/>
              </w:rPr>
              <w:t>投标单位</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18329CF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
                <w:bCs/>
                <w:snapToGrid/>
                <w:color w:val="auto"/>
                <w:kern w:val="2"/>
                <w:sz w:val="24"/>
                <w:szCs w:val="24"/>
                <w:highlight w:val="none"/>
                <w:lang w:val="en-US" w:eastAsia="zh-CN"/>
              </w:rPr>
            </w:pPr>
            <w:r>
              <w:rPr>
                <w:rFonts w:hint="eastAsia" w:ascii="宋体" w:hAnsi="宋体" w:eastAsia="宋体" w:cs="宋体"/>
                <w:b/>
                <w:bCs/>
                <w:snapToGrid/>
                <w:color w:val="auto"/>
                <w:kern w:val="2"/>
                <w:sz w:val="24"/>
                <w:szCs w:val="24"/>
                <w:highlight w:val="none"/>
                <w:lang w:val="en-US" w:eastAsia="zh-CN" w:bidi="ar"/>
              </w:rPr>
              <w:t>备注</w:t>
            </w:r>
          </w:p>
        </w:tc>
      </w:tr>
      <w:tr w14:paraId="547CF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11E7402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一、深基坑工程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E1ABB6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7D61F1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58049F4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66D3B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29DFC1C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开挖深度超过5m（含5m）的基坑（槽）的土方开挖、支护、降水工程。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734D49F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250C505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66725EB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6B220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0AF569D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二、模板工程及支撑体系</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11AC08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548ABD4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1240EF2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1B07D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7F81A8B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（一）各类工具式模板工程：包括滑模、爬模、飞模、隧道模等工程。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769034D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56E64DA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04904E4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0626A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7D6AADA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（二）混凝土模板支撑工程：搭设高度8m及以上，或搭设跨度18m及以上，或施工总荷载（设计值）15kN/m2及以上，或集中线荷载（设计值）20kN/m及以上。</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9DDFDB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3324A5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5095833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55B9E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53AA2B9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（三）承重支撑体系：用于钢结构安装等满堂支撑体系，承受单点集中荷载7kN及以上。</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187475D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6A0F94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7658E1F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0BF3B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68EC0F4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三、起重吊装及起重机械安装拆卸工程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8C3565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50F10A7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1224AF6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7E295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699578A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（一）采用非常规起重设备、方法，且单件起吊重量在100kN及以上的起重吊装工程。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56BA97F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B8A06E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6AE51B0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24CC5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378DB6C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（二）起重量300kN及以上，或搭设总高度200m及以上，或搭设基础标高在200m及以上的起重机械安装和拆卸工程。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6DBB973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361056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7403608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2DF3C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7A4390A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四、脚手架工程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BCF5F0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7E9755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36F8377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7CDFF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1D7082D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（一）搭设高度50m及以上的落地式钢管脚手架工程。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1D2F618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2780AB8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28F7B1D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26E04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793F50C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（二）提升高度在150m及以上的附着式升降脚手架工程或附着式升降操作平台工程。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239AA4F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62B9A53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63B2C97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75241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0655181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（三）分段架体搭设高度20m及以上的悬挑式脚手架工程。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D7F27F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EAEFE9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75C3857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26473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3911EA0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五、拆除工程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1DCB09E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7335BD2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24E1D19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07637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239ADB3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（一）码头、桥梁、高架、烟囱、水塔或拆除中容易引起有毒有害气（液）体或粉尘扩散、易燃易爆事故发生的特殊建、构筑物的拆除工程。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A175F0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5732FD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71B73E7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6B3C4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140FF55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（二）文物保护建筑、优秀历史建筑或历史文化风貌区影响范围内的拆除工程。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5B19D0F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color w:val="auto"/>
                <w:highlight w:val="none"/>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782627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2506314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5F0F6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361E70F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六、暗挖工程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839A70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DF3514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5A10080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4E334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565943F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采用矿山法、盾构法、顶管法施工的隧道、洞室工程。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62DD4E3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27D3547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3091B42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42AF0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62DA2B5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七、其它</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8716EC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0DFD36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2C35052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1133F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45DCD44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（一）施工高度50m及以上的建筑幕墙安装工程。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FCA34B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
                <w:bCs w:val="0"/>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AD73B6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019C39A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70E71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26A594F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（二）跨度36m及以上的钢结构安装工程，或跨度60m及以上的网架和索膜结构安装工程。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73DAC62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580DAA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32D20A9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129F2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70D00A9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（三）开挖深度16m及以上的人工挖孔桩工程。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BB583B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3B0EEB3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35187C8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60E05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70EAD26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（四）水下作业工程。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6B5538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4AC1B5F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41DAF22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2A823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16A97CA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（五）重量1000kN及以上的大型结构整体顶升、平移、转体等施工工艺。</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7758DB9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932912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2E06E70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r w14:paraId="785BC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872" w:type="pct"/>
            <w:tcBorders>
              <w:top w:val="single" w:color="000000" w:sz="4" w:space="0"/>
              <w:left w:val="single" w:color="000000" w:sz="4" w:space="0"/>
              <w:bottom w:val="single" w:color="000000" w:sz="4" w:space="0"/>
              <w:right w:val="single" w:color="000000" w:sz="4" w:space="0"/>
            </w:tcBorders>
            <w:noWrap w:val="0"/>
            <w:vAlign w:val="center"/>
          </w:tcPr>
          <w:p w14:paraId="743B86A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（六）采用新技术、新工艺、新材料、新设备可能影响工程施工安全，尚无国家、行业及地方技术标准的分部分项工程。</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0ED5033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14:paraId="7210714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
              </w:rPr>
              <w:t>(    )</w:t>
            </w:r>
          </w:p>
        </w:tc>
        <w:tc>
          <w:tcPr>
            <w:tcW w:w="597" w:type="pct"/>
            <w:tcBorders>
              <w:top w:val="single" w:color="000000" w:sz="4" w:space="0"/>
              <w:left w:val="single" w:color="000000" w:sz="4" w:space="0"/>
              <w:bottom w:val="single" w:color="000000" w:sz="4" w:space="0"/>
              <w:right w:val="single" w:color="000000" w:sz="4" w:space="0"/>
            </w:tcBorders>
            <w:noWrap w:val="0"/>
            <w:vAlign w:val="center"/>
          </w:tcPr>
          <w:p w14:paraId="50FEE63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color w:val="auto"/>
                <w:kern w:val="2"/>
                <w:sz w:val="24"/>
                <w:szCs w:val="24"/>
                <w:highlight w:val="none"/>
                <w:lang w:val="en-US" w:eastAsia="zh-CN"/>
              </w:rPr>
            </w:pPr>
          </w:p>
        </w:tc>
      </w:tr>
    </w:tbl>
    <w:p w14:paraId="28D0F407">
      <w:pPr>
        <w:keepNext w:val="0"/>
        <w:keepLines w:val="0"/>
        <w:widowControl w:val="0"/>
        <w:suppressLineNumbers w:val="0"/>
        <w:kinsoku/>
        <w:autoSpaceDE/>
        <w:autoSpaceDN/>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Cs w:val="24"/>
          <w:highlight w:val="none"/>
          <w:lang w:eastAsia="zh-CN"/>
        </w:rPr>
      </w:pPr>
      <w:r>
        <w:rPr>
          <w:rFonts w:hint="eastAsia" w:ascii="宋体" w:hAnsi="宋体" w:eastAsia="宋体" w:cs="宋体"/>
          <w:snapToGrid/>
          <w:color w:val="auto"/>
          <w:kern w:val="2"/>
          <w:sz w:val="24"/>
          <w:szCs w:val="24"/>
          <w:highlight w:val="none"/>
          <w:lang w:val="en-US" w:eastAsia="zh-CN" w:bidi="ar"/>
        </w:rPr>
        <w:t xml:space="preserve"> </w:t>
      </w:r>
    </w:p>
    <w:p w14:paraId="2BFBA95B">
      <w:pPr>
        <w:keepNext w:val="0"/>
        <w:keepLines w:val="0"/>
        <w:widowControl/>
        <w:suppressLineNumbers w:val="0"/>
        <w:spacing w:before="0" w:beforeLines="0" w:beforeAutospacing="0" w:after="0" w:afterLines="0" w:afterAutospacing="0" w:line="400" w:lineRule="exact"/>
        <w:ind w:left="0" w:right="0" w:firstLine="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备注：1.根据《危险性较大的分部分项工程安全管理规定》，该《危险性较大的分部分项工程清单及超过一定规模的危险性较大的分部分项工程清单》应由</w:t>
      </w:r>
      <w:r>
        <w:rPr>
          <w:rFonts w:hint="eastAsia" w:ascii="宋体" w:hAnsi="宋体" w:eastAsia="宋体" w:cs="宋体"/>
          <w:b/>
          <w:bCs/>
          <w:color w:val="auto"/>
          <w:kern w:val="0"/>
          <w:sz w:val="24"/>
          <w:szCs w:val="24"/>
          <w:highlight w:val="none"/>
          <w:lang w:val="en-US" w:eastAsia="zh-CN" w:bidi="ar"/>
        </w:rPr>
        <w:t xml:space="preserve">建设单位 </w:t>
      </w:r>
      <w:r>
        <w:rPr>
          <w:rFonts w:hint="eastAsia" w:ascii="宋体" w:hAnsi="宋体" w:eastAsia="宋体" w:cs="宋体"/>
          <w:color w:val="auto"/>
          <w:kern w:val="0"/>
          <w:sz w:val="24"/>
          <w:szCs w:val="24"/>
          <w:highlight w:val="none"/>
          <w:lang w:val="en-US" w:eastAsia="zh-CN" w:bidi="ar"/>
        </w:rPr>
        <w:t>组织勘察、设计等单位</w:t>
      </w:r>
      <w:r>
        <w:rPr>
          <w:rFonts w:hint="eastAsia" w:ascii="宋体" w:hAnsi="宋体" w:eastAsia="宋体" w:cs="宋体"/>
          <w:b/>
          <w:bCs/>
          <w:color w:val="auto"/>
          <w:kern w:val="0"/>
          <w:sz w:val="24"/>
          <w:szCs w:val="24"/>
          <w:highlight w:val="none"/>
          <w:lang w:val="en-US" w:eastAsia="zh-CN" w:bidi="ar"/>
        </w:rPr>
        <w:t>在招标文件</w:t>
      </w:r>
      <w:r>
        <w:rPr>
          <w:rFonts w:hint="eastAsia" w:ascii="宋体" w:hAnsi="宋体" w:eastAsia="宋体" w:cs="宋体"/>
          <w:color w:val="auto"/>
          <w:kern w:val="0"/>
          <w:sz w:val="24"/>
          <w:szCs w:val="24"/>
          <w:highlight w:val="none"/>
          <w:lang w:val="en-US" w:eastAsia="zh-CN" w:bidi="ar"/>
        </w:rPr>
        <w:t>中先行“勾选（对应项打“√”标识）”危险性较大的分部分项工程。</w:t>
      </w:r>
    </w:p>
    <w:p w14:paraId="6E62D904">
      <w:pPr>
        <w:keepNext w:val="0"/>
        <w:keepLines w:val="0"/>
        <w:widowControl/>
        <w:suppressLineNumbers w:val="0"/>
        <w:spacing w:before="0" w:beforeLines="0" w:beforeAutospacing="0" w:after="0" w:afterLines="0" w:afterAutospacing="0" w:line="400" w:lineRule="exact"/>
        <w:ind w:left="0" w:right="0" w:firstLine="660" w:firstLineChars="275"/>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2.该《危险性较大的分部分项工程清单及超过一定规模的危险性较大的分部分项工程清单》在办理建设项目施工许可时必须提供，且各地建设行政主管部门可按照《广东省建设工程项目招标中标后监督检查办法》相关规定开展检查。</w:t>
      </w:r>
    </w:p>
    <w:p w14:paraId="32C0E68A">
      <w:pPr>
        <w:keepNext w:val="0"/>
        <w:keepLines w:val="0"/>
        <w:widowControl/>
        <w:suppressLineNumbers w:val="0"/>
        <w:spacing w:before="0" w:beforeLines="0" w:beforeAutospacing="0" w:after="0" w:afterLines="0" w:afterAutospacing="0" w:line="400" w:lineRule="exact"/>
        <w:ind w:left="0" w:right="0" w:firstLine="660" w:firstLineChars="275"/>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3.如果需要（如需要通过计算编制专项方案，或者需要专家论证），可中标后提供详细版。</w:t>
      </w:r>
    </w:p>
    <w:p w14:paraId="4D4ECE87">
      <w:pPr>
        <w:rPr>
          <w:rFonts w:hint="eastAsia" w:ascii="宋体" w:hAnsi="宋体" w:eastAsia="宋体" w:cs="宋体"/>
          <w:b/>
          <w:bCs/>
          <w:color w:val="auto"/>
          <w:spacing w:val="0"/>
          <w:sz w:val="24"/>
          <w:szCs w:val="24"/>
          <w:highlight w:val="none"/>
        </w:rPr>
      </w:pPr>
    </w:p>
    <w:p w14:paraId="6D713FFA">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76642D6D">
      <w:pPr>
        <w:keepNext w:val="0"/>
        <w:keepLines w:val="0"/>
        <w:pageBreakBefore w:val="0"/>
        <w:kinsoku/>
        <w:wordWrap w:val="0"/>
        <w:overflowPunct/>
        <w:topLinePunct/>
        <w:bidi w:val="0"/>
        <w:spacing w:before="78" w:line="220" w:lineRule="auto"/>
        <w:jc w:val="both"/>
        <w:outlineLvl w:val="2"/>
        <w:rPr>
          <w:rFonts w:hint="eastAsia" w:ascii="宋体" w:hAnsi="宋体" w:eastAsia="宋体" w:cs="宋体"/>
          <w:b/>
          <w:bCs/>
          <w:color w:val="auto"/>
          <w:spacing w:val="0"/>
          <w:sz w:val="24"/>
          <w:szCs w:val="24"/>
          <w:highlight w:val="none"/>
          <w:lang w:val="en-US" w:eastAsia="zh-CN"/>
        </w:rPr>
      </w:pPr>
      <w:bookmarkStart w:id="224" w:name="_Toc4646"/>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val="en-US" w:eastAsia="zh-CN"/>
        </w:rPr>
        <w:t xml:space="preserve">四  </w:t>
      </w:r>
      <w:r>
        <w:rPr>
          <w:rFonts w:hint="eastAsia" w:ascii="宋体" w:hAnsi="宋体" w:eastAsia="宋体" w:cs="宋体"/>
          <w:b/>
          <w:bCs/>
          <w:color w:val="auto"/>
          <w:spacing w:val="0"/>
          <w:position w:val="3"/>
          <w:sz w:val="21"/>
          <w:szCs w:val="21"/>
          <w:highlight w:val="none"/>
        </w:rPr>
        <w:t>投标保证金信用承诺函</w:t>
      </w:r>
      <w:bookmarkEnd w:id="224"/>
    </w:p>
    <w:p w14:paraId="65CD39CE">
      <w:pPr>
        <w:keepNext w:val="0"/>
        <w:keepLines w:val="0"/>
        <w:pageBreakBefore w:val="0"/>
        <w:kinsoku/>
        <w:wordWrap w:val="0"/>
        <w:overflowPunct/>
        <w:topLinePunct/>
        <w:bidi w:val="0"/>
        <w:spacing w:before="140" w:line="604" w:lineRule="exact"/>
        <w:jc w:val="center"/>
        <w:rPr>
          <w:rFonts w:hint="eastAsia" w:ascii="宋体" w:hAnsi="宋体" w:eastAsia="宋体" w:cs="宋体"/>
          <w:color w:val="auto"/>
          <w:spacing w:val="0"/>
          <w:sz w:val="28"/>
          <w:szCs w:val="28"/>
          <w:highlight w:val="none"/>
        </w:rPr>
      </w:pPr>
      <w:r>
        <w:rPr>
          <w:rFonts w:hint="eastAsia" w:ascii="宋体" w:hAnsi="宋体" w:eastAsia="宋体" w:cs="宋体"/>
          <w:b/>
          <w:bCs/>
          <w:color w:val="auto"/>
          <w:spacing w:val="0"/>
          <w:position w:val="3"/>
          <w:sz w:val="28"/>
          <w:szCs w:val="28"/>
          <w:highlight w:val="none"/>
        </w:rPr>
        <w:t>投标保证金信用承诺函</w:t>
      </w:r>
    </w:p>
    <w:p w14:paraId="6AA91FBD">
      <w:pPr>
        <w:pStyle w:val="6"/>
        <w:keepNext w:val="0"/>
        <w:keepLines w:val="0"/>
        <w:pageBreakBefore w:val="0"/>
        <w:kinsoku/>
        <w:wordWrap w:val="0"/>
        <w:overflowPunct/>
        <w:topLinePunct/>
        <w:bidi w:val="0"/>
        <w:spacing w:line="408" w:lineRule="auto"/>
        <w:rPr>
          <w:rFonts w:hint="eastAsia" w:ascii="宋体" w:hAnsi="宋体" w:eastAsia="宋体" w:cs="宋体"/>
          <w:color w:val="auto"/>
          <w:spacing w:val="0"/>
          <w:highlight w:val="none"/>
        </w:rPr>
      </w:pPr>
    </w:p>
    <w:p w14:paraId="5F48B1FE">
      <w:pPr>
        <w:keepNext w:val="0"/>
        <w:keepLines w:val="0"/>
        <w:pageBreakBefore w:val="0"/>
        <w:widowControl/>
        <w:kinsoku/>
        <w:wordWrap w:val="0"/>
        <w:overflowPunct/>
        <w:topLinePunct/>
        <w:autoSpaceDE w:val="0"/>
        <w:autoSpaceDN w:val="0"/>
        <w:bidi w:val="0"/>
        <w:adjustRightInd w:val="0"/>
        <w:snapToGrid w:val="0"/>
        <w:spacing w:before="101" w:line="360" w:lineRule="auto"/>
        <w:ind w:left="0" w:right="0" w:firstLine="480" w:firstLineChars="20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一、</w:t>
      </w:r>
      <w:r>
        <w:rPr>
          <w:rFonts w:hint="eastAsia" w:ascii="宋体" w:hAnsi="宋体" w:eastAsia="宋体" w:cs="宋体"/>
          <w:color w:val="auto"/>
          <w:spacing w:val="0"/>
          <w:sz w:val="24"/>
          <w:szCs w:val="24"/>
          <w:highlight w:val="none"/>
        </w:rPr>
        <w:t>我单位参加</w:t>
      </w:r>
      <w:r>
        <w:rPr>
          <w:rFonts w:hint="eastAsia" w:ascii="宋体" w:hAnsi="宋体" w:eastAsia="宋体" w:cs="宋体"/>
          <w:color w:val="auto"/>
          <w:spacing w:val="0"/>
          <w:sz w:val="24"/>
          <w:szCs w:val="24"/>
          <w:highlight w:val="none"/>
          <w:u w:val="single"/>
        </w:rPr>
        <w:t xml:space="preserve">  （工程项目名称）  </w:t>
      </w:r>
      <w:r>
        <w:rPr>
          <w:rFonts w:hint="eastAsia" w:ascii="宋体" w:hAnsi="宋体" w:eastAsia="宋体" w:cs="宋体"/>
          <w:color w:val="auto"/>
          <w:spacing w:val="0"/>
          <w:sz w:val="24"/>
          <w:szCs w:val="24"/>
          <w:highlight w:val="none"/>
        </w:rPr>
        <w:t>的投标活动，现承诺：将严格按照法律法规规定参与交易活动，按照招标文件要求依法履行投标人义务；我方若出现违反《中华人民共和国招标投标法》、《中华人民共和国招标投标法实施条例》、《电子招标投标办法》等有关法律法规的行为，将于投标有效期内全额付清招标文件规定的投标保证金</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元。</w:t>
      </w:r>
    </w:p>
    <w:p w14:paraId="56DD7522">
      <w:pPr>
        <w:keepNext w:val="0"/>
        <w:keepLines w:val="0"/>
        <w:pageBreakBefore w:val="0"/>
        <w:widowControl/>
        <w:kinsoku/>
        <w:wordWrap w:val="0"/>
        <w:overflowPunct/>
        <w:topLinePunct/>
        <w:autoSpaceDE w:val="0"/>
        <w:autoSpaceDN w:val="0"/>
        <w:bidi w:val="0"/>
        <w:adjustRightInd w:val="0"/>
        <w:snapToGrid w:val="0"/>
        <w:spacing w:before="48" w:line="360" w:lineRule="auto"/>
        <w:ind w:left="0" w:right="0" w:firstLine="480" w:firstLineChars="20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二、至投标文件提交当天，本公司无严重不良信用记录或存在曾作出虚假承诺的情形，且不属于韶关市建筑市场信用管理平台公布的信用等级为 B 级、C 级、D 级的企业。</w:t>
      </w:r>
    </w:p>
    <w:p w14:paraId="601C6D0F">
      <w:pPr>
        <w:keepNext w:val="0"/>
        <w:keepLines w:val="0"/>
        <w:pageBreakBefore w:val="0"/>
        <w:widowControl/>
        <w:kinsoku/>
        <w:wordWrap w:val="0"/>
        <w:overflowPunct/>
        <w:topLinePunct/>
        <w:autoSpaceDE w:val="0"/>
        <w:autoSpaceDN w:val="0"/>
        <w:bidi w:val="0"/>
        <w:adjustRightInd w:val="0"/>
        <w:snapToGrid w:val="0"/>
        <w:spacing w:before="52"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本企业对以上承诺和声明负责。如有虚假，愿接受行政主管部门作出的处罚，并承担以下后果：</w:t>
      </w:r>
    </w:p>
    <w:p w14:paraId="5D8FFF85">
      <w:pPr>
        <w:keepNext w:val="0"/>
        <w:keepLines w:val="0"/>
        <w:pageBreakBefore w:val="0"/>
        <w:widowControl/>
        <w:kinsoku/>
        <w:wordWrap w:val="0"/>
        <w:overflowPunct/>
        <w:topLinePunct/>
        <w:autoSpaceDE w:val="0"/>
        <w:autoSpaceDN w:val="0"/>
        <w:bidi w:val="0"/>
        <w:adjustRightInd w:val="0"/>
        <w:snapToGrid w:val="0"/>
        <w:spacing w:before="48"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（一）取消本单位在本项目中的投标资格或中标资格；</w:t>
      </w:r>
    </w:p>
    <w:p w14:paraId="373FFD5B">
      <w:pPr>
        <w:keepNext w:val="0"/>
        <w:keepLines w:val="0"/>
        <w:pageBreakBefore w:val="0"/>
        <w:widowControl/>
        <w:kinsoku/>
        <w:wordWrap w:val="0"/>
        <w:overflowPunct/>
        <w:topLinePunct/>
        <w:autoSpaceDE w:val="0"/>
        <w:autoSpaceDN w:val="0"/>
        <w:bidi w:val="0"/>
        <w:adjustRightInd w:val="0"/>
        <w:snapToGrid w:val="0"/>
        <w:spacing w:before="64"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（二）将本单位不良行为纳入信用信息管理系统；</w:t>
      </w:r>
    </w:p>
    <w:p w14:paraId="516CD1D4">
      <w:pPr>
        <w:keepNext w:val="0"/>
        <w:keepLines w:val="0"/>
        <w:pageBreakBefore w:val="0"/>
        <w:widowControl/>
        <w:kinsoku/>
        <w:wordWrap w:val="0"/>
        <w:overflowPunct/>
        <w:topLinePunct/>
        <w:autoSpaceDE w:val="0"/>
        <w:autoSpaceDN w:val="0"/>
        <w:bidi w:val="0"/>
        <w:adjustRightInd w:val="0"/>
        <w:snapToGrid w:val="0"/>
        <w:spacing w:before="60"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（三）主动在产生不良行为所在的各县（市、区）行政区域内不参加房建市政工程项目的投标活动一年；</w:t>
      </w:r>
    </w:p>
    <w:p w14:paraId="012BAFFB">
      <w:pPr>
        <w:keepNext w:val="0"/>
        <w:keepLines w:val="0"/>
        <w:pageBreakBefore w:val="0"/>
        <w:widowControl/>
        <w:kinsoku/>
        <w:wordWrap w:val="0"/>
        <w:overflowPunct/>
        <w:topLinePunct/>
        <w:autoSpaceDE w:val="0"/>
        <w:autoSpaceDN w:val="0"/>
        <w:bidi w:val="0"/>
        <w:adjustRightInd w:val="0"/>
        <w:snapToGrid w:val="0"/>
        <w:spacing w:before="63"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（四）应付的赔偿责任和相应法律责任。</w:t>
      </w:r>
    </w:p>
    <w:p w14:paraId="33B7615A">
      <w:pPr>
        <w:pStyle w:val="6"/>
        <w:keepNext w:val="0"/>
        <w:keepLines w:val="0"/>
        <w:pageBreakBefore w:val="0"/>
        <w:kinsoku/>
        <w:wordWrap w:val="0"/>
        <w:overflowPunct/>
        <w:topLinePunct/>
        <w:bidi w:val="0"/>
        <w:spacing w:line="329" w:lineRule="auto"/>
        <w:rPr>
          <w:rFonts w:hint="eastAsia" w:ascii="宋体" w:hAnsi="宋体" w:eastAsia="宋体" w:cs="宋体"/>
          <w:color w:val="auto"/>
          <w:spacing w:val="0"/>
          <w:sz w:val="24"/>
          <w:szCs w:val="24"/>
          <w:highlight w:val="none"/>
        </w:rPr>
      </w:pPr>
    </w:p>
    <w:p w14:paraId="34549AB3">
      <w:pPr>
        <w:keepNext w:val="0"/>
        <w:keepLines w:val="0"/>
        <w:pageBreakBefore w:val="0"/>
        <w:kinsoku/>
        <w:wordWrap w:val="0"/>
        <w:overflowPunct/>
        <w:topLinePunct/>
        <w:bidi w:val="0"/>
        <w:spacing w:before="102" w:line="225" w:lineRule="auto"/>
        <w:ind w:left="8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单位名称（公章）：</w:t>
      </w:r>
    </w:p>
    <w:p w14:paraId="2ED4FD15">
      <w:pPr>
        <w:pStyle w:val="6"/>
        <w:keepNext w:val="0"/>
        <w:keepLines w:val="0"/>
        <w:pageBreakBefore w:val="0"/>
        <w:kinsoku/>
        <w:wordWrap w:val="0"/>
        <w:overflowPunct/>
        <w:topLinePunct/>
        <w:bidi w:val="0"/>
        <w:spacing w:line="457" w:lineRule="auto"/>
        <w:rPr>
          <w:rFonts w:hint="eastAsia" w:ascii="宋体" w:hAnsi="宋体" w:eastAsia="宋体" w:cs="宋体"/>
          <w:color w:val="auto"/>
          <w:spacing w:val="0"/>
          <w:sz w:val="24"/>
          <w:szCs w:val="24"/>
          <w:highlight w:val="none"/>
        </w:rPr>
      </w:pPr>
    </w:p>
    <w:p w14:paraId="51AAA562">
      <w:pPr>
        <w:keepNext w:val="0"/>
        <w:keepLines w:val="0"/>
        <w:pageBreakBefore w:val="0"/>
        <w:kinsoku/>
        <w:wordWrap w:val="0"/>
        <w:overflowPunct/>
        <w:topLinePunct/>
        <w:bidi w:val="0"/>
        <w:spacing w:before="100" w:line="225" w:lineRule="auto"/>
        <w:ind w:left="85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统一社会信用代码：</w:t>
      </w:r>
    </w:p>
    <w:p w14:paraId="69D495AC">
      <w:pPr>
        <w:pStyle w:val="6"/>
        <w:keepNext w:val="0"/>
        <w:keepLines w:val="0"/>
        <w:pageBreakBefore w:val="0"/>
        <w:kinsoku/>
        <w:wordWrap w:val="0"/>
        <w:overflowPunct/>
        <w:topLinePunct/>
        <w:bidi w:val="0"/>
        <w:spacing w:line="457" w:lineRule="auto"/>
        <w:rPr>
          <w:rFonts w:hint="eastAsia" w:ascii="宋体" w:hAnsi="宋体" w:eastAsia="宋体" w:cs="宋体"/>
          <w:color w:val="auto"/>
          <w:spacing w:val="0"/>
          <w:sz w:val="24"/>
          <w:szCs w:val="24"/>
          <w:highlight w:val="none"/>
        </w:rPr>
      </w:pPr>
    </w:p>
    <w:p w14:paraId="4F42B07B">
      <w:pPr>
        <w:keepNext w:val="0"/>
        <w:keepLines w:val="0"/>
        <w:pageBreakBefore w:val="0"/>
        <w:kinsoku/>
        <w:wordWrap w:val="0"/>
        <w:overflowPunct/>
        <w:topLinePunct/>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法定代表人（签字）：</w:t>
      </w:r>
    </w:p>
    <w:p w14:paraId="19B25459">
      <w:pPr>
        <w:pStyle w:val="6"/>
        <w:keepNext w:val="0"/>
        <w:keepLines w:val="0"/>
        <w:pageBreakBefore w:val="0"/>
        <w:kinsoku/>
        <w:wordWrap w:val="0"/>
        <w:overflowPunct/>
        <w:topLinePunct/>
        <w:bidi w:val="0"/>
        <w:spacing w:line="240" w:lineRule="auto"/>
        <w:rPr>
          <w:rFonts w:hint="eastAsia" w:ascii="宋体" w:hAnsi="宋体" w:eastAsia="宋体" w:cs="宋体"/>
          <w:color w:val="auto"/>
          <w:spacing w:val="0"/>
          <w:sz w:val="24"/>
          <w:szCs w:val="24"/>
          <w:highlight w:val="none"/>
        </w:rPr>
      </w:pPr>
    </w:p>
    <w:p w14:paraId="368778AC">
      <w:pPr>
        <w:keepNext w:val="0"/>
        <w:keepLines w:val="0"/>
        <w:pageBreakBefore w:val="0"/>
        <w:kinsoku/>
        <w:wordWrap w:val="0"/>
        <w:overflowPunct/>
        <w:topLinePunct/>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年   月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w:t>
      </w:r>
    </w:p>
    <w:p w14:paraId="487F35DA">
      <w:pPr>
        <w:pStyle w:val="15"/>
        <w:keepNext w:val="0"/>
        <w:keepLines w:val="0"/>
        <w:pageBreakBefore w:val="0"/>
        <w:kinsoku/>
        <w:wordWrap w:val="0"/>
        <w:overflowPunct/>
        <w:topLinePunct/>
        <w:bidi w:val="0"/>
        <w:rPr>
          <w:rFonts w:hint="eastAsia" w:ascii="宋体" w:hAnsi="宋体" w:eastAsia="宋体" w:cs="宋体"/>
          <w:color w:val="auto"/>
          <w:spacing w:val="0"/>
          <w:highlight w:val="none"/>
        </w:rPr>
      </w:pPr>
    </w:p>
    <w:p w14:paraId="0B259893">
      <w:pPr>
        <w:pStyle w:val="15"/>
        <w:keepNext w:val="0"/>
        <w:keepLines w:val="0"/>
        <w:pageBreakBefore w:val="0"/>
        <w:kinsoku/>
        <w:wordWrap w:val="0"/>
        <w:overflowPunct/>
        <w:topLinePunct/>
        <w:bidi w:val="0"/>
        <w:rPr>
          <w:rFonts w:hint="eastAsia" w:ascii="宋体" w:hAnsi="宋体" w:eastAsia="宋体" w:cs="宋体"/>
          <w:color w:val="auto"/>
          <w:spacing w:val="0"/>
          <w:sz w:val="24"/>
          <w:szCs w:val="24"/>
          <w:highlight w:val="none"/>
          <w:lang w:eastAsia="zh-CN"/>
        </w:rPr>
        <w:sectPr>
          <w:footerReference r:id="rId22"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17075A33">
      <w:pPr>
        <w:keepNext w:val="0"/>
        <w:keepLines w:val="0"/>
        <w:widowControl w:val="0"/>
        <w:suppressLineNumbers w:val="0"/>
        <w:autoSpaceDE w:val="0"/>
        <w:autoSpaceDN/>
        <w:spacing w:before="0" w:beforeAutospacing="0" w:after="0" w:afterAutospacing="0" w:line="380" w:lineRule="exact"/>
        <w:ind w:left="0" w:right="0"/>
        <w:jc w:val="left"/>
        <w:outlineLvl w:val="1"/>
        <w:rPr>
          <w:rFonts w:hint="eastAsia" w:ascii="宋体" w:hAnsi="宋体" w:eastAsia="宋体" w:cs="宋体"/>
          <w:b/>
          <w:bCs w:val="0"/>
          <w:color w:val="auto"/>
          <w:kern w:val="2"/>
          <w:sz w:val="21"/>
          <w:szCs w:val="21"/>
          <w:highlight w:val="none"/>
        </w:rPr>
      </w:pPr>
      <w:bookmarkStart w:id="225" w:name="_Toc29639"/>
      <w:r>
        <w:rPr>
          <w:rFonts w:hint="eastAsia" w:ascii="宋体" w:hAnsi="宋体" w:eastAsia="宋体" w:cs="宋体"/>
          <w:b/>
          <w:bCs/>
          <w:color w:val="auto"/>
          <w:spacing w:val="0"/>
          <w:sz w:val="24"/>
          <w:szCs w:val="24"/>
          <w:highlight w:val="none"/>
        </w:rPr>
        <w:t xml:space="preserve">格式十五  </w:t>
      </w:r>
      <w:bookmarkEnd w:id="225"/>
      <w:r>
        <w:rPr>
          <w:rFonts w:hint="eastAsia" w:ascii="宋体" w:hAnsi="宋体" w:eastAsia="宋体" w:cs="宋体"/>
          <w:b/>
          <w:bCs w:val="0"/>
          <w:snapToGrid w:val="0"/>
          <w:color w:val="auto"/>
          <w:kern w:val="2"/>
          <w:sz w:val="21"/>
          <w:szCs w:val="21"/>
          <w:highlight w:val="none"/>
          <w:lang w:val="en-US" w:eastAsia="zh-CN" w:bidi="ar"/>
        </w:rPr>
        <w:t>助力项目承诺书</w:t>
      </w:r>
    </w:p>
    <w:p w14:paraId="63098ABC">
      <w:pPr>
        <w:keepNext w:val="0"/>
        <w:keepLines w:val="0"/>
        <w:widowControl w:val="0"/>
        <w:suppressLineNumbers w:val="0"/>
        <w:autoSpaceDE w:val="0"/>
        <w:autoSpaceDN/>
        <w:spacing w:before="0" w:beforeAutospacing="0" w:after="0" w:afterAutospacing="0" w:line="380" w:lineRule="exact"/>
        <w:ind w:left="0" w:right="0"/>
        <w:jc w:val="center"/>
        <w:rPr>
          <w:rFonts w:hint="eastAsia" w:ascii="宋体" w:hAnsi="宋体" w:eastAsia="宋体" w:cs="宋体"/>
          <w:b/>
          <w:bCs/>
          <w:color w:val="auto"/>
          <w:kern w:val="2"/>
          <w:sz w:val="32"/>
          <w:szCs w:val="32"/>
          <w:highlight w:val="none"/>
        </w:rPr>
      </w:pPr>
      <w:r>
        <w:rPr>
          <w:rFonts w:hint="eastAsia" w:ascii="宋体" w:hAnsi="宋体" w:eastAsia="宋体" w:cs="宋体"/>
          <w:b/>
          <w:bCs/>
          <w:snapToGrid w:val="0"/>
          <w:color w:val="auto"/>
          <w:kern w:val="2"/>
          <w:sz w:val="32"/>
          <w:szCs w:val="32"/>
          <w:highlight w:val="none"/>
          <w:lang w:val="en-US" w:eastAsia="zh-CN" w:bidi="ar"/>
        </w:rPr>
        <w:t>助力项目承诺书</w:t>
      </w:r>
    </w:p>
    <w:p w14:paraId="018511B6">
      <w:pPr>
        <w:keepNext w:val="0"/>
        <w:keepLines w:val="0"/>
        <w:widowControl w:val="0"/>
        <w:suppressLineNumbers w:val="0"/>
        <w:autoSpaceDE w:val="0"/>
        <w:autoSpaceDN/>
        <w:spacing w:before="0" w:beforeAutospacing="0" w:after="0" w:afterAutospacing="0" w:line="38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 xml:space="preserve"> </w:t>
      </w:r>
    </w:p>
    <w:p w14:paraId="1CAF21E1">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致招标人：</w:t>
      </w:r>
      <w:r>
        <w:rPr>
          <w:rFonts w:hint="eastAsia" w:ascii="宋体" w:hAnsi="宋体" w:eastAsia="宋体" w:cs="宋体"/>
          <w:snapToGrid w:val="0"/>
          <w:color w:val="auto"/>
          <w:kern w:val="2"/>
          <w:sz w:val="24"/>
          <w:szCs w:val="24"/>
          <w:highlight w:val="none"/>
          <w:u w:val="single"/>
          <w:lang w:val="en-US" w:eastAsia="zh-CN" w:bidi="ar"/>
        </w:rPr>
        <w:t xml:space="preserve">                      </w:t>
      </w:r>
    </w:p>
    <w:p w14:paraId="014F6F4F">
      <w:pPr>
        <w:keepNext w:val="0"/>
        <w:keepLines w:val="0"/>
        <w:widowControl w:val="0"/>
        <w:suppressLineNumbers w:val="0"/>
        <w:autoSpaceDE w:val="0"/>
        <w:autoSpaceDN/>
        <w:spacing w:before="0" w:beforeAutospacing="0" w:after="0" w:afterAutospacing="0" w:line="36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b w:val="0"/>
          <w:bCs w:val="0"/>
          <w:i w:val="0"/>
          <w:iCs w:val="0"/>
          <w:snapToGrid w:val="0"/>
          <w:color w:val="auto"/>
          <w:kern w:val="2"/>
          <w:sz w:val="24"/>
          <w:szCs w:val="24"/>
          <w:highlight w:val="none"/>
          <w:lang w:val="en-US" w:eastAsia="zh-CN" w:bidi="ar"/>
        </w:rPr>
        <w:t>为落实省委、省政府关于实施“百县千镇万村高质量发展工程”（以下简称“百千</w:t>
      </w:r>
      <w:r>
        <w:rPr>
          <w:rFonts w:hint="eastAsia" w:ascii="宋体" w:hAnsi="宋体" w:eastAsia="宋体" w:cs="宋体"/>
          <w:snapToGrid w:val="0"/>
          <w:color w:val="auto"/>
          <w:kern w:val="2"/>
          <w:sz w:val="24"/>
          <w:szCs w:val="24"/>
          <w:highlight w:val="none"/>
          <w:lang w:val="en-US" w:eastAsia="zh-CN" w:bidi="ar"/>
        </w:rPr>
        <w:t>万工程”）工作部署以及</w:t>
      </w:r>
      <w:r>
        <w:rPr>
          <w:rFonts w:hint="eastAsia" w:ascii="宋体" w:hAnsi="宋体" w:eastAsia="宋体" w:cs="宋体"/>
          <w:b w:val="0"/>
          <w:bCs w:val="0"/>
          <w:i w:val="0"/>
          <w:iCs w:val="0"/>
          <w:snapToGrid w:val="0"/>
          <w:color w:val="auto"/>
          <w:kern w:val="2"/>
          <w:sz w:val="24"/>
          <w:szCs w:val="24"/>
          <w:highlight w:val="none"/>
          <w:lang w:val="en-US" w:eastAsia="zh-CN" w:bidi="ar"/>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snapToGrid w:val="0"/>
          <w:color w:val="auto"/>
          <w:kern w:val="0"/>
          <w:sz w:val="24"/>
          <w:szCs w:val="24"/>
          <w:highlight w:val="none"/>
          <w:lang w:val="en-US" w:eastAsia="zh-CN" w:bidi="ar"/>
        </w:rPr>
        <w:t>〔2024〕11号</w:t>
      </w:r>
      <w:r>
        <w:rPr>
          <w:rFonts w:hint="eastAsia" w:ascii="宋体" w:hAnsi="宋体" w:eastAsia="宋体" w:cs="宋体"/>
          <w:b w:val="0"/>
          <w:bCs w:val="0"/>
          <w:i w:val="0"/>
          <w:iCs w:val="0"/>
          <w:snapToGrid w:val="0"/>
          <w:color w:val="auto"/>
          <w:kern w:val="2"/>
          <w:sz w:val="24"/>
          <w:szCs w:val="24"/>
          <w:highlight w:val="none"/>
          <w:lang w:val="en-US" w:eastAsia="zh-CN" w:bidi="ar"/>
        </w:rPr>
        <w:t>）等工作要求，我公司将按要求完成中标项目的同时，自愿利用</w:t>
      </w:r>
      <w:r>
        <w:rPr>
          <w:rFonts w:hint="eastAsia" w:ascii="宋体" w:hAnsi="宋体" w:eastAsia="宋体" w:cs="宋体"/>
          <w:snapToGrid w:val="0"/>
          <w:color w:val="auto"/>
          <w:kern w:val="2"/>
          <w:sz w:val="24"/>
          <w:szCs w:val="24"/>
          <w:highlight w:val="none"/>
          <w:lang w:val="en-US" w:eastAsia="zh-CN" w:bidi="ar"/>
        </w:rPr>
        <w:t>本企业的合理利润，积极做好助力项目建设，就此我方承诺如下：</w:t>
      </w:r>
    </w:p>
    <w:p w14:paraId="00CEA298">
      <w:pPr>
        <w:keepNext w:val="0"/>
        <w:keepLines w:val="0"/>
        <w:widowControl w:val="0"/>
        <w:suppressLineNumbers w:val="0"/>
        <w:autoSpaceDE w:val="0"/>
        <w:autoSpaceDN/>
        <w:spacing w:before="0" w:beforeAutospacing="0" w:after="0" w:afterAutospacing="0" w:line="36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b w:val="0"/>
          <w:bCs w:val="0"/>
          <w:snapToGrid w:val="0"/>
          <w:color w:val="auto"/>
          <w:kern w:val="2"/>
          <w:sz w:val="24"/>
          <w:szCs w:val="24"/>
          <w:highlight w:val="none"/>
          <w:lang w:val="en-US" w:eastAsia="zh-CN" w:bidi="ar"/>
        </w:rPr>
        <w:t>1、</w:t>
      </w:r>
      <w:r>
        <w:rPr>
          <w:rFonts w:hint="eastAsia" w:ascii="宋体" w:hAnsi="宋体" w:eastAsia="宋体" w:cs="宋体"/>
          <w:snapToGrid w:val="0"/>
          <w:color w:val="auto"/>
          <w:kern w:val="2"/>
          <w:sz w:val="24"/>
          <w:szCs w:val="24"/>
          <w:highlight w:val="none"/>
          <w:lang w:val="en-US" w:eastAsia="zh-CN" w:bidi="ar"/>
        </w:rPr>
        <w:t>我方愿以</w:t>
      </w:r>
      <w:r>
        <w:rPr>
          <w:rFonts w:hint="eastAsia" w:ascii="宋体" w:hAnsi="宋体" w:eastAsia="宋体" w:cs="宋体"/>
          <w:b w:val="0"/>
          <w:bCs w:val="0"/>
          <w:i w:val="0"/>
          <w:iCs w:val="0"/>
          <w:snapToGrid w:val="0"/>
          <w:color w:val="auto"/>
          <w:kern w:val="2"/>
          <w:sz w:val="24"/>
          <w:szCs w:val="24"/>
          <w:highlight w:val="none"/>
          <w:lang w:val="en-US" w:eastAsia="zh-CN" w:bidi="ar"/>
        </w:rPr>
        <w:t>本项</w:t>
      </w:r>
      <w:r>
        <w:rPr>
          <w:rFonts w:hint="eastAsia" w:ascii="宋体" w:hAnsi="宋体" w:eastAsia="宋体" w:cs="宋体"/>
          <w:snapToGrid w:val="0"/>
          <w:color w:val="auto"/>
          <w:kern w:val="2"/>
          <w:sz w:val="24"/>
          <w:szCs w:val="24"/>
          <w:highlight w:val="none"/>
          <w:lang w:val="en-US" w:eastAsia="zh-CN" w:bidi="ar"/>
        </w:rPr>
        <w:t>目施工最高投标限价</w:t>
      </w:r>
      <w:r>
        <w:rPr>
          <w:rFonts w:hint="eastAsia" w:ascii="宋体" w:hAnsi="宋体" w:eastAsia="宋体" w:cs="宋体"/>
          <w:snapToGrid w:val="0"/>
          <w:color w:val="auto"/>
          <w:kern w:val="2"/>
          <w:sz w:val="24"/>
          <w:szCs w:val="24"/>
          <w:highlight w:val="none"/>
          <w:u w:val="single"/>
          <w:lang w:val="en-US" w:eastAsia="zh-CN" w:bidi="ar"/>
        </w:rPr>
        <w:t xml:space="preserve">   </w:t>
      </w:r>
      <w:r>
        <w:rPr>
          <w:rFonts w:hint="eastAsia" w:ascii="宋体" w:hAnsi="宋体" w:eastAsia="宋体" w:cs="宋体"/>
          <w:snapToGrid w:val="0"/>
          <w:color w:val="auto"/>
          <w:kern w:val="2"/>
          <w:sz w:val="24"/>
          <w:szCs w:val="24"/>
          <w:highlight w:val="none"/>
          <w:lang w:val="en-US" w:eastAsia="zh-CN" w:bidi="ar"/>
        </w:rPr>
        <w:t>%的资金，用于助力“百千万工程”中的公益性项目建设，具体实施助力项目从各级“百千万工程”指挥部提供的项目建设清单（项目库）中选取。</w:t>
      </w:r>
    </w:p>
    <w:p w14:paraId="378C00FE">
      <w:pPr>
        <w:keepNext w:val="0"/>
        <w:keepLines w:val="0"/>
        <w:widowControl w:val="0"/>
        <w:suppressLineNumbers w:val="0"/>
        <w:autoSpaceDE w:val="0"/>
        <w:autoSpaceDN/>
        <w:spacing w:before="0" w:beforeAutospacing="0" w:after="0" w:afterAutospacing="0" w:line="36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2、如我方中标，承诺完成助力项目建设所用的资金是本企业的自有资金，不使用中标项目内的资金作为助力项目建设资金。</w:t>
      </w:r>
    </w:p>
    <w:p w14:paraId="0EBD5495">
      <w:pPr>
        <w:keepNext w:val="0"/>
        <w:keepLines w:val="0"/>
        <w:widowControl w:val="0"/>
        <w:suppressLineNumbers w:val="0"/>
        <w:autoSpaceDE w:val="0"/>
        <w:autoSpaceDN/>
        <w:spacing w:before="0" w:beforeAutospacing="0" w:after="0" w:afterAutospacing="0" w:line="36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61D97850">
      <w:pPr>
        <w:keepNext w:val="0"/>
        <w:keepLines w:val="0"/>
        <w:widowControl w:val="0"/>
        <w:suppressLineNumbers w:val="0"/>
        <w:autoSpaceDE w:val="0"/>
        <w:autoSpaceDN/>
        <w:spacing w:before="0" w:beforeAutospacing="0" w:after="0" w:afterAutospacing="0" w:line="36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587DE75A">
      <w:pPr>
        <w:keepNext w:val="0"/>
        <w:keepLines w:val="0"/>
        <w:widowControl w:val="0"/>
        <w:suppressLineNumbers w:val="0"/>
        <w:autoSpaceDE w:val="0"/>
        <w:autoSpaceDN/>
        <w:spacing w:before="0" w:beforeAutospacing="0" w:after="0" w:afterAutospacing="0" w:line="36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6C4EF8A4">
      <w:pPr>
        <w:pStyle w:val="14"/>
        <w:keepNext w:val="0"/>
        <w:keepLines w:val="0"/>
        <w:widowControl w:val="0"/>
        <w:suppressLineNumbers w:val="0"/>
        <w:autoSpaceDE w:val="0"/>
        <w:autoSpaceDN/>
        <w:spacing w:before="0" w:beforeAutospacing="1" w:after="0" w:afterLines="0" w:afterAutospacing="0" w:line="360" w:lineRule="exact"/>
        <w:ind w:left="0" w:leftChars="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我方同意在投标人须知规定的投标有效期内严格遵守本企业投标文件的各项承诺，如有违约，愿承担相应违约责任。</w:t>
      </w:r>
    </w:p>
    <w:p w14:paraId="18CE70C7">
      <w:pPr>
        <w:pStyle w:val="14"/>
        <w:keepNext w:val="0"/>
        <w:keepLines w:val="0"/>
        <w:widowControl w:val="0"/>
        <w:suppressLineNumbers w:val="0"/>
        <w:autoSpaceDE w:val="0"/>
        <w:autoSpaceDN/>
        <w:spacing w:before="0" w:beforeAutospacing="1" w:after="0" w:afterLines="0" w:afterAutospacing="0" w:line="360" w:lineRule="exact"/>
        <w:ind w:left="0" w:leftChars="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 </w:t>
      </w:r>
    </w:p>
    <w:p w14:paraId="3B7A2804">
      <w:pPr>
        <w:pStyle w:val="14"/>
        <w:keepNext w:val="0"/>
        <w:keepLines w:val="0"/>
        <w:widowControl w:val="0"/>
        <w:suppressLineNumbers w:val="0"/>
        <w:autoSpaceDE w:val="0"/>
        <w:autoSpaceDN/>
        <w:spacing w:before="0" w:beforeAutospacing="1" w:after="0" w:afterLines="0" w:afterAutospacing="0" w:line="360" w:lineRule="exact"/>
        <w:ind w:left="0" w:leftChars="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 </w:t>
      </w:r>
    </w:p>
    <w:p w14:paraId="7CB64C81">
      <w:pPr>
        <w:keepNext w:val="0"/>
        <w:keepLines w:val="0"/>
        <w:widowControl w:val="0"/>
        <w:suppressLineNumbers w:val="0"/>
        <w:autoSpaceDE w:val="0"/>
        <w:autoSpaceDN/>
        <w:spacing w:before="0" w:beforeAutospacing="0" w:after="0" w:afterAutospacing="0" w:line="4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 xml:space="preserve">                      投标人 ：</w:t>
      </w:r>
      <w:r>
        <w:rPr>
          <w:rFonts w:hint="eastAsia" w:ascii="宋体" w:hAnsi="宋体" w:eastAsia="宋体" w:cs="宋体"/>
          <w:snapToGrid w:val="0"/>
          <w:color w:val="auto"/>
          <w:kern w:val="2"/>
          <w:sz w:val="24"/>
          <w:szCs w:val="24"/>
          <w:highlight w:val="none"/>
          <w:u w:val="single"/>
          <w:lang w:val="en-US" w:eastAsia="zh-CN" w:bidi="ar"/>
        </w:rPr>
        <w:t xml:space="preserve">                    </w:t>
      </w:r>
      <w:r>
        <w:rPr>
          <w:rFonts w:hint="eastAsia" w:ascii="宋体" w:hAnsi="宋体" w:eastAsia="宋体" w:cs="宋体"/>
          <w:snapToGrid w:val="0"/>
          <w:color w:val="auto"/>
          <w:kern w:val="2"/>
          <w:sz w:val="24"/>
          <w:szCs w:val="24"/>
          <w:highlight w:val="none"/>
          <w:lang w:val="en-US" w:eastAsia="zh-CN" w:bidi="ar"/>
        </w:rPr>
        <w:t>(盖电子印章）</w:t>
      </w:r>
    </w:p>
    <w:p w14:paraId="4717F129">
      <w:pPr>
        <w:keepNext w:val="0"/>
        <w:keepLines w:val="0"/>
        <w:widowControl w:val="0"/>
        <w:suppressLineNumbers w:val="0"/>
        <w:autoSpaceDE w:val="0"/>
        <w:autoSpaceDN/>
        <w:spacing w:before="0" w:beforeAutospacing="0" w:after="0" w:afterAutospacing="0" w:line="4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 xml:space="preserve"> </w:t>
      </w:r>
    </w:p>
    <w:p w14:paraId="57E4EDB5">
      <w:pPr>
        <w:keepNext w:val="0"/>
        <w:keepLines w:val="0"/>
        <w:widowControl w:val="0"/>
        <w:suppressLineNumbers w:val="0"/>
        <w:autoSpaceDE w:val="0"/>
        <w:autoSpaceDN/>
        <w:spacing w:before="0" w:beforeAutospacing="0" w:after="0" w:afterAutospacing="0" w:line="4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 xml:space="preserve">                      法定代表人：</w:t>
      </w:r>
      <w:r>
        <w:rPr>
          <w:rFonts w:hint="eastAsia" w:ascii="宋体" w:hAnsi="宋体" w:eastAsia="宋体" w:cs="宋体"/>
          <w:snapToGrid w:val="0"/>
          <w:color w:val="auto"/>
          <w:kern w:val="2"/>
          <w:sz w:val="24"/>
          <w:szCs w:val="24"/>
          <w:highlight w:val="none"/>
          <w:u w:val="single"/>
          <w:lang w:val="en-US" w:eastAsia="zh-CN" w:bidi="ar"/>
        </w:rPr>
        <w:t xml:space="preserve">         </w:t>
      </w:r>
      <w:r>
        <w:rPr>
          <w:rFonts w:hint="eastAsia" w:ascii="宋体" w:hAnsi="宋体" w:eastAsia="宋体" w:cs="宋体"/>
          <w:snapToGrid w:val="0"/>
          <w:color w:val="auto"/>
          <w:kern w:val="2"/>
          <w:sz w:val="24"/>
          <w:szCs w:val="24"/>
          <w:highlight w:val="none"/>
          <w:lang w:val="en-US" w:eastAsia="zh-CN" w:bidi="ar"/>
        </w:rPr>
        <w:t>（电子签名或盖电子印章）</w:t>
      </w:r>
    </w:p>
    <w:p w14:paraId="1857EAAD">
      <w:pPr>
        <w:keepNext w:val="0"/>
        <w:keepLines w:val="0"/>
        <w:widowControl w:val="0"/>
        <w:suppressLineNumbers w:val="0"/>
        <w:autoSpaceDE w:val="0"/>
        <w:autoSpaceDN/>
        <w:spacing w:before="0" w:beforeAutospacing="0" w:after="0" w:afterAutospacing="0" w:line="4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 xml:space="preserve"> </w:t>
      </w:r>
    </w:p>
    <w:p w14:paraId="2982C5F6">
      <w:pPr>
        <w:keepNext w:val="0"/>
        <w:keepLines w:val="0"/>
        <w:widowControl w:val="0"/>
        <w:suppressLineNumbers w:val="0"/>
        <w:autoSpaceDE w:val="0"/>
        <w:autoSpaceDN/>
        <w:spacing w:before="0" w:beforeAutospacing="0" w:after="0" w:afterAutospacing="0" w:line="4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 xml:space="preserve">                            日期：</w:t>
      </w:r>
      <w:r>
        <w:rPr>
          <w:rFonts w:hint="eastAsia" w:ascii="宋体" w:hAnsi="宋体" w:eastAsia="宋体" w:cs="宋体"/>
          <w:snapToGrid w:val="0"/>
          <w:color w:val="auto"/>
          <w:kern w:val="2"/>
          <w:sz w:val="24"/>
          <w:szCs w:val="24"/>
          <w:highlight w:val="none"/>
          <w:u w:val="single"/>
          <w:lang w:val="en-US" w:eastAsia="zh-CN" w:bidi="ar"/>
        </w:rPr>
        <w:t xml:space="preserve">            </w:t>
      </w:r>
      <w:r>
        <w:rPr>
          <w:rFonts w:hint="eastAsia" w:ascii="宋体" w:hAnsi="宋体" w:eastAsia="宋体" w:cs="宋体"/>
          <w:snapToGrid w:val="0"/>
          <w:color w:val="auto"/>
          <w:kern w:val="2"/>
          <w:sz w:val="24"/>
          <w:szCs w:val="24"/>
          <w:highlight w:val="none"/>
          <w:lang w:val="en-US" w:eastAsia="zh-CN" w:bidi="ar"/>
        </w:rPr>
        <w:t>年</w:t>
      </w:r>
      <w:r>
        <w:rPr>
          <w:rFonts w:hint="eastAsia" w:ascii="宋体" w:hAnsi="宋体" w:eastAsia="宋体" w:cs="宋体"/>
          <w:snapToGrid w:val="0"/>
          <w:color w:val="auto"/>
          <w:kern w:val="2"/>
          <w:sz w:val="24"/>
          <w:szCs w:val="24"/>
          <w:highlight w:val="none"/>
          <w:u w:val="single"/>
          <w:lang w:val="en-US" w:eastAsia="zh-CN" w:bidi="ar"/>
        </w:rPr>
        <w:t xml:space="preserve">    </w:t>
      </w:r>
      <w:r>
        <w:rPr>
          <w:rFonts w:hint="eastAsia" w:ascii="宋体" w:hAnsi="宋体" w:eastAsia="宋体" w:cs="宋体"/>
          <w:snapToGrid w:val="0"/>
          <w:color w:val="auto"/>
          <w:kern w:val="2"/>
          <w:sz w:val="24"/>
          <w:szCs w:val="24"/>
          <w:highlight w:val="none"/>
          <w:lang w:val="en-US" w:eastAsia="zh-CN" w:bidi="ar"/>
        </w:rPr>
        <w:t>月</w:t>
      </w:r>
      <w:r>
        <w:rPr>
          <w:rFonts w:hint="eastAsia" w:ascii="宋体" w:hAnsi="宋体" w:eastAsia="宋体" w:cs="宋体"/>
          <w:snapToGrid w:val="0"/>
          <w:color w:val="auto"/>
          <w:kern w:val="2"/>
          <w:sz w:val="24"/>
          <w:szCs w:val="24"/>
          <w:highlight w:val="none"/>
          <w:u w:val="single"/>
          <w:lang w:val="en-US" w:eastAsia="zh-CN" w:bidi="ar"/>
        </w:rPr>
        <w:t xml:space="preserve">    </w:t>
      </w:r>
      <w:r>
        <w:rPr>
          <w:rFonts w:hint="eastAsia" w:ascii="宋体" w:hAnsi="宋体" w:eastAsia="宋体" w:cs="宋体"/>
          <w:snapToGrid w:val="0"/>
          <w:color w:val="auto"/>
          <w:kern w:val="2"/>
          <w:sz w:val="24"/>
          <w:szCs w:val="24"/>
          <w:highlight w:val="none"/>
          <w:lang w:val="en-US" w:eastAsia="zh-CN" w:bidi="ar"/>
        </w:rPr>
        <w:t>日</w:t>
      </w:r>
    </w:p>
    <w:p w14:paraId="0FFE3C11">
      <w:pPr>
        <w:keepNext w:val="0"/>
        <w:keepLines w:val="0"/>
        <w:widowControl w:val="0"/>
        <w:suppressLineNumbers w:val="0"/>
        <w:autoSpaceDE w:val="0"/>
        <w:autoSpaceDN/>
        <w:spacing w:before="0" w:beforeAutospacing="0" w:after="0" w:afterAutospacing="0" w:line="30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snapToGrid w:val="0"/>
          <w:color w:val="auto"/>
          <w:kern w:val="2"/>
          <w:sz w:val="21"/>
          <w:szCs w:val="21"/>
          <w:highlight w:val="none"/>
          <w:lang w:val="en-US" w:eastAsia="zh-CN" w:bidi="ar"/>
        </w:rPr>
        <w:t xml:space="preserve"> </w:t>
      </w:r>
    </w:p>
    <w:p w14:paraId="342D4CB4">
      <w:pPr>
        <w:keepNext w:val="0"/>
        <w:keepLines w:val="0"/>
        <w:widowControl w:val="0"/>
        <w:suppressLineNumbers w:val="0"/>
        <w:autoSpaceDE w:val="0"/>
        <w:autoSpaceDN/>
        <w:spacing w:before="0" w:beforeAutospacing="0" w:after="0" w:afterAutospacing="0" w:line="360" w:lineRule="auto"/>
        <w:ind w:left="0" w:right="0"/>
        <w:jc w:val="both"/>
        <w:rPr>
          <w:rFonts w:hint="default" w:ascii="宋体" w:hAnsi="宋体" w:eastAsia="宋体" w:cs="宋体"/>
          <w:snapToGrid w:val="0"/>
          <w:color w:val="auto"/>
          <w:kern w:val="2"/>
          <w:sz w:val="24"/>
          <w:szCs w:val="24"/>
          <w:highlight w:val="none"/>
          <w:lang w:val="en-US" w:eastAsia="zh-CN" w:bidi="ar"/>
        </w:rPr>
      </w:pPr>
      <w:r>
        <w:rPr>
          <w:rFonts w:hint="eastAsia" w:ascii="宋体" w:hAnsi="宋体" w:eastAsia="宋体" w:cs="宋体"/>
          <w:snapToGrid w:val="0"/>
          <w:color w:val="auto"/>
          <w:kern w:val="2"/>
          <w:sz w:val="24"/>
          <w:szCs w:val="24"/>
          <w:highlight w:val="none"/>
          <w:lang w:val="en-US" w:eastAsia="zh-CN" w:bidi="ar"/>
        </w:rPr>
        <w:t>注：1、本次招标鼓励投标人积极响应政策号召，充分利用其人才、技术、专业、资源、资金、设备或管理优势，通过技术创新和资源优化，以投标人自愿为原则，助力百千万工程公益性项目。</w:t>
      </w:r>
    </w:p>
    <w:p w14:paraId="7738F290">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2"/>
          <w:sz w:val="24"/>
          <w:szCs w:val="24"/>
          <w:highlight w:val="none"/>
          <w:lang w:val="en-US" w:eastAsia="zh-CN" w:bidi="ar"/>
        </w:rPr>
        <w:t>2、上述承诺书中的</w:t>
      </w:r>
      <w:r>
        <w:rPr>
          <w:rFonts w:hint="eastAsia" w:ascii="宋体" w:hAnsi="宋体" w:eastAsia="宋体" w:cs="宋体"/>
          <w:b w:val="0"/>
          <w:bCs w:val="0"/>
          <w:i w:val="0"/>
          <w:iCs w:val="0"/>
          <w:snapToGrid w:val="0"/>
          <w:color w:val="auto"/>
          <w:kern w:val="2"/>
          <w:sz w:val="24"/>
          <w:szCs w:val="24"/>
          <w:highlight w:val="none"/>
          <w:lang w:val="en-US" w:eastAsia="zh-CN" w:bidi="ar"/>
        </w:rPr>
        <w:t>企业社会贡献下浮率要使用阿拉伯数字填报，但不得填报负值，否则作无效投标处理。企业社会贡献下浮率没有填报任何数字的按无企业社会贡献处理，但不作无效投标处理</w:t>
      </w:r>
    </w:p>
    <w:p w14:paraId="178F76C7">
      <w:pPr>
        <w:rPr>
          <w:rFonts w:hint="eastAsia" w:ascii="宋体" w:hAnsi="宋体" w:eastAsia="宋体" w:cs="宋体"/>
          <w:b/>
          <w:bCs/>
          <w:color w:val="auto"/>
          <w:spacing w:val="0"/>
          <w:sz w:val="24"/>
          <w:szCs w:val="24"/>
          <w:highlight w:val="none"/>
        </w:rPr>
        <w:sectPr>
          <w:footerReference r:id="rId23" w:type="default"/>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pPr>
    </w:p>
    <w:p w14:paraId="610AD106">
      <w:pPr>
        <w:keepNext w:val="0"/>
        <w:keepLines w:val="0"/>
        <w:pageBreakBefore w:val="0"/>
        <w:kinsoku/>
        <w:wordWrap w:val="0"/>
        <w:overflowPunct/>
        <w:topLinePunct/>
        <w:bidi w:val="0"/>
        <w:spacing w:before="78" w:line="220" w:lineRule="auto"/>
        <w:outlineLvl w:val="2"/>
        <w:rPr>
          <w:rFonts w:hint="eastAsia" w:ascii="宋体" w:hAnsi="宋体" w:eastAsia="宋体" w:cs="宋体"/>
          <w:b/>
          <w:bCs/>
          <w:color w:val="auto"/>
          <w:spacing w:val="0"/>
          <w:sz w:val="24"/>
          <w:szCs w:val="24"/>
          <w:highlight w:val="none"/>
        </w:rPr>
      </w:pPr>
      <w:bookmarkStart w:id="226" w:name="_Toc12783"/>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val="en-US" w:eastAsia="zh-CN"/>
        </w:rPr>
        <w:t>六</w:t>
      </w:r>
      <w:r>
        <w:rPr>
          <w:rFonts w:hint="eastAsia" w:ascii="宋体" w:hAnsi="宋体" w:eastAsia="宋体" w:cs="宋体"/>
          <w:b/>
          <w:bCs/>
          <w:color w:val="auto"/>
          <w:spacing w:val="0"/>
          <w:sz w:val="24"/>
          <w:szCs w:val="24"/>
          <w:highlight w:val="none"/>
        </w:rPr>
        <w:t xml:space="preserve">  原件一览表</w:t>
      </w:r>
      <w:bookmarkEnd w:id="226"/>
    </w:p>
    <w:p w14:paraId="1620602E">
      <w:pPr>
        <w:bidi w:val="0"/>
        <w:rPr>
          <w:rFonts w:hint="eastAsia"/>
          <w:color w:val="auto"/>
          <w:highlight w:val="none"/>
        </w:rPr>
      </w:pPr>
    </w:p>
    <w:tbl>
      <w:tblPr>
        <w:tblStyle w:val="16"/>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24"/>
        <w:gridCol w:w="1891"/>
        <w:gridCol w:w="1720"/>
        <w:gridCol w:w="963"/>
        <w:gridCol w:w="718"/>
        <w:gridCol w:w="778"/>
        <w:gridCol w:w="987"/>
        <w:gridCol w:w="1637"/>
      </w:tblGrid>
      <w:tr w14:paraId="3DAA8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00" w:type="pct"/>
            <w:gridSpan w:val="8"/>
            <w:vAlign w:val="center"/>
          </w:tcPr>
          <w:p w14:paraId="0913EA9A">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原件一览表</w:t>
            </w:r>
          </w:p>
        </w:tc>
      </w:tr>
      <w:tr w14:paraId="54DEB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89" w:type="pct"/>
            <w:gridSpan w:val="2"/>
            <w:vAlign w:val="center"/>
          </w:tcPr>
          <w:p w14:paraId="50F941CE">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工程名称</w:t>
            </w:r>
          </w:p>
        </w:tc>
        <w:tc>
          <w:tcPr>
            <w:tcW w:w="3610" w:type="pct"/>
            <w:gridSpan w:val="6"/>
            <w:vAlign w:val="center"/>
          </w:tcPr>
          <w:p w14:paraId="77C2CC3C">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r>
      <w:tr w14:paraId="04AF4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89" w:type="pct"/>
            <w:gridSpan w:val="2"/>
            <w:vAlign w:val="center"/>
          </w:tcPr>
          <w:p w14:paraId="65809084">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w:t>
            </w:r>
          </w:p>
          <w:p w14:paraId="0940670B">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(请务必填写单位全称)</w:t>
            </w:r>
          </w:p>
        </w:tc>
        <w:tc>
          <w:tcPr>
            <w:tcW w:w="3610" w:type="pct"/>
            <w:gridSpan w:val="6"/>
            <w:vAlign w:val="center"/>
          </w:tcPr>
          <w:p w14:paraId="6801204A">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r>
      <w:tr w14:paraId="65E76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89" w:type="pct"/>
            <w:gridSpan w:val="2"/>
            <w:vAlign w:val="center"/>
          </w:tcPr>
          <w:p w14:paraId="35F9C7C0">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投标人法定代表人或其委托代理人签名</w:t>
            </w:r>
          </w:p>
        </w:tc>
        <w:tc>
          <w:tcPr>
            <w:tcW w:w="1424" w:type="pct"/>
            <w:gridSpan w:val="2"/>
            <w:vAlign w:val="center"/>
          </w:tcPr>
          <w:p w14:paraId="40758662">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c>
          <w:tcPr>
            <w:tcW w:w="793" w:type="pct"/>
            <w:gridSpan w:val="2"/>
            <w:vAlign w:val="center"/>
          </w:tcPr>
          <w:p w14:paraId="1FA58C7B">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手机号码</w:t>
            </w:r>
          </w:p>
        </w:tc>
        <w:tc>
          <w:tcPr>
            <w:tcW w:w="1392" w:type="pct"/>
            <w:gridSpan w:val="2"/>
            <w:vAlign w:val="center"/>
          </w:tcPr>
          <w:p w14:paraId="3D4230A5">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r>
      <w:tr w14:paraId="39F44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00" w:type="pct"/>
            <w:gridSpan w:val="8"/>
            <w:vAlign w:val="center"/>
          </w:tcPr>
          <w:p w14:paraId="20D2A49E">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递交的证明材料原件如下：</w:t>
            </w:r>
          </w:p>
        </w:tc>
      </w:tr>
      <w:tr w14:paraId="2060EE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385" w:type="pct"/>
            <w:vAlign w:val="center"/>
          </w:tcPr>
          <w:p w14:paraId="28D33A39">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2809" w:type="pct"/>
            <w:gridSpan w:val="4"/>
            <w:vAlign w:val="center"/>
          </w:tcPr>
          <w:p w14:paraId="46FB6A92">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证明材料原件名称</w:t>
            </w:r>
          </w:p>
        </w:tc>
        <w:tc>
          <w:tcPr>
            <w:tcW w:w="937" w:type="pct"/>
            <w:gridSpan w:val="2"/>
            <w:vAlign w:val="center"/>
          </w:tcPr>
          <w:p w14:paraId="18986971">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w:t>
            </w:r>
          </w:p>
        </w:tc>
        <w:tc>
          <w:tcPr>
            <w:tcW w:w="868" w:type="pct"/>
            <w:vAlign w:val="center"/>
          </w:tcPr>
          <w:p w14:paraId="470E37BD">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数量</w:t>
            </w:r>
          </w:p>
        </w:tc>
      </w:tr>
      <w:tr w14:paraId="5B585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385" w:type="pct"/>
            <w:vAlign w:val="center"/>
          </w:tcPr>
          <w:p w14:paraId="5B6DA961">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2809" w:type="pct"/>
            <w:gridSpan w:val="4"/>
            <w:vAlign w:val="center"/>
          </w:tcPr>
          <w:p w14:paraId="4A38E27E">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c>
          <w:tcPr>
            <w:tcW w:w="937" w:type="pct"/>
            <w:gridSpan w:val="2"/>
            <w:vAlign w:val="center"/>
          </w:tcPr>
          <w:p w14:paraId="1FB27874">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c>
          <w:tcPr>
            <w:tcW w:w="868" w:type="pct"/>
            <w:vAlign w:val="center"/>
          </w:tcPr>
          <w:p w14:paraId="3CD85093">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r>
      <w:tr w14:paraId="3FAB1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385" w:type="pct"/>
            <w:vAlign w:val="center"/>
          </w:tcPr>
          <w:p w14:paraId="41CDAE3F">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2809" w:type="pct"/>
            <w:gridSpan w:val="4"/>
            <w:vAlign w:val="center"/>
          </w:tcPr>
          <w:p w14:paraId="0646EEBC">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c>
          <w:tcPr>
            <w:tcW w:w="937" w:type="pct"/>
            <w:gridSpan w:val="2"/>
            <w:vAlign w:val="center"/>
          </w:tcPr>
          <w:p w14:paraId="2D03314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c>
          <w:tcPr>
            <w:tcW w:w="868" w:type="pct"/>
            <w:vAlign w:val="center"/>
          </w:tcPr>
          <w:p w14:paraId="6B01F5D0">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r>
      <w:tr w14:paraId="3440B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385" w:type="pct"/>
            <w:vAlign w:val="center"/>
          </w:tcPr>
          <w:p w14:paraId="27A40B80">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2809" w:type="pct"/>
            <w:gridSpan w:val="4"/>
            <w:vAlign w:val="center"/>
          </w:tcPr>
          <w:p w14:paraId="536FCE9C">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c>
          <w:tcPr>
            <w:tcW w:w="937" w:type="pct"/>
            <w:gridSpan w:val="2"/>
            <w:vAlign w:val="center"/>
          </w:tcPr>
          <w:p w14:paraId="37803FF7">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c>
          <w:tcPr>
            <w:tcW w:w="868" w:type="pct"/>
            <w:vAlign w:val="center"/>
          </w:tcPr>
          <w:p w14:paraId="76CA1EA5">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r>
      <w:tr w14:paraId="5B047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385" w:type="pct"/>
            <w:vAlign w:val="center"/>
          </w:tcPr>
          <w:p w14:paraId="4499649A">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1"/>
                <w:sz w:val="24"/>
                <w:szCs w:val="24"/>
                <w:highlight w:val="none"/>
              </w:rPr>
              <w:t>...</w:t>
            </w:r>
          </w:p>
        </w:tc>
        <w:tc>
          <w:tcPr>
            <w:tcW w:w="2809" w:type="pct"/>
            <w:gridSpan w:val="4"/>
            <w:vAlign w:val="center"/>
          </w:tcPr>
          <w:p w14:paraId="3272F64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c>
          <w:tcPr>
            <w:tcW w:w="937" w:type="pct"/>
            <w:gridSpan w:val="2"/>
            <w:vAlign w:val="center"/>
          </w:tcPr>
          <w:p w14:paraId="24B6452B">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c>
          <w:tcPr>
            <w:tcW w:w="868" w:type="pct"/>
            <w:vAlign w:val="center"/>
          </w:tcPr>
          <w:p w14:paraId="6CF4A158">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r>
      <w:tr w14:paraId="0DC37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67" w:hRule="atLeast"/>
        </w:trPr>
        <w:tc>
          <w:tcPr>
            <w:tcW w:w="385" w:type="pct"/>
            <w:vAlign w:val="center"/>
          </w:tcPr>
          <w:p w14:paraId="407C2001">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注意：</w:t>
            </w:r>
          </w:p>
        </w:tc>
        <w:tc>
          <w:tcPr>
            <w:tcW w:w="4614" w:type="pct"/>
            <w:gridSpan w:val="7"/>
            <w:vAlign w:val="center"/>
          </w:tcPr>
          <w:p w14:paraId="7219CA9B">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57ABA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1389" w:type="pct"/>
            <w:gridSpan w:val="2"/>
            <w:vAlign w:val="center"/>
          </w:tcPr>
          <w:p w14:paraId="2C65D792">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接收原件经办人</w:t>
            </w:r>
          </w:p>
          <w:p w14:paraId="5B490225">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(招标代理)：</w:t>
            </w:r>
          </w:p>
        </w:tc>
        <w:tc>
          <w:tcPr>
            <w:tcW w:w="913" w:type="pct"/>
            <w:vAlign w:val="center"/>
          </w:tcPr>
          <w:p w14:paraId="38158666">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c>
          <w:tcPr>
            <w:tcW w:w="891" w:type="pct"/>
            <w:gridSpan w:val="2"/>
            <w:vAlign w:val="center"/>
          </w:tcPr>
          <w:p w14:paraId="6DE9FE93">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接收时间：</w:t>
            </w:r>
          </w:p>
        </w:tc>
        <w:tc>
          <w:tcPr>
            <w:tcW w:w="1805" w:type="pct"/>
            <w:gridSpan w:val="3"/>
            <w:vAlign w:val="center"/>
          </w:tcPr>
          <w:p w14:paraId="3D26FC2E">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年   月   日   时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分</w:t>
            </w:r>
          </w:p>
        </w:tc>
      </w:tr>
      <w:tr w14:paraId="0AC56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3" w:hRule="atLeast"/>
        </w:trPr>
        <w:tc>
          <w:tcPr>
            <w:tcW w:w="1389" w:type="pct"/>
            <w:gridSpan w:val="2"/>
            <w:vAlign w:val="center"/>
          </w:tcPr>
          <w:p w14:paraId="41265F9A">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退还原件接收人</w:t>
            </w:r>
          </w:p>
          <w:p w14:paraId="7BF5BC1A">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p>
        </w:tc>
        <w:tc>
          <w:tcPr>
            <w:tcW w:w="913" w:type="pct"/>
            <w:vAlign w:val="center"/>
          </w:tcPr>
          <w:p w14:paraId="4A926272">
            <w:pPr>
              <w:pStyle w:val="29"/>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p>
        </w:tc>
        <w:tc>
          <w:tcPr>
            <w:tcW w:w="891" w:type="pct"/>
            <w:gridSpan w:val="2"/>
            <w:vAlign w:val="center"/>
          </w:tcPr>
          <w:p w14:paraId="277DB310">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退还时间：</w:t>
            </w:r>
          </w:p>
        </w:tc>
        <w:tc>
          <w:tcPr>
            <w:tcW w:w="1805" w:type="pct"/>
            <w:gridSpan w:val="3"/>
            <w:vAlign w:val="center"/>
          </w:tcPr>
          <w:p w14:paraId="3A788441">
            <w:pPr>
              <w:keepNext w:val="0"/>
              <w:keepLines w:val="0"/>
              <w:pageBreakBefore w:val="0"/>
              <w:widowControl/>
              <w:suppressLineNumbers w:val="0"/>
              <w:kinsoku/>
              <w:wordWrap w:val="0"/>
              <w:overflowPunct/>
              <w:topLinePunct/>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年   月   日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时   分</w:t>
            </w:r>
          </w:p>
        </w:tc>
      </w:tr>
    </w:tbl>
    <w:p w14:paraId="002C4508">
      <w:pPr>
        <w:keepNext w:val="0"/>
        <w:keepLines w:val="0"/>
        <w:pageBreakBefore w:val="0"/>
        <w:kinsoku/>
        <w:wordWrap w:val="0"/>
        <w:overflowPunct/>
        <w:topLinePunct/>
        <w:bidi w:val="0"/>
        <w:spacing w:before="78" w:line="220" w:lineRule="auto"/>
        <w:outlineLvl w:val="2"/>
        <w:rPr>
          <w:rFonts w:hint="eastAsia" w:ascii="宋体" w:hAnsi="宋体" w:eastAsia="宋体" w:cs="宋体"/>
          <w:b/>
          <w:bCs/>
          <w:color w:val="auto"/>
          <w:spacing w:val="0"/>
          <w:sz w:val="24"/>
          <w:szCs w:val="24"/>
          <w:highlight w:val="none"/>
        </w:rPr>
      </w:pPr>
      <w:bookmarkStart w:id="227" w:name="bookmark107"/>
      <w:bookmarkEnd w:id="227"/>
      <w:r>
        <w:rPr>
          <w:rFonts w:hint="eastAsia" w:ascii="宋体" w:hAnsi="宋体" w:eastAsia="宋体" w:cs="宋体"/>
          <w:b/>
          <w:bCs/>
          <w:color w:val="auto"/>
          <w:spacing w:val="0"/>
          <w:sz w:val="24"/>
          <w:szCs w:val="24"/>
          <w:highlight w:val="none"/>
        </w:rPr>
        <w:br w:type="page"/>
      </w:r>
      <w:bookmarkStart w:id="228" w:name="_Toc29118"/>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十七</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 xml:space="preserve"> 定标文件</w:t>
      </w:r>
      <w:r>
        <w:rPr>
          <w:rFonts w:hint="eastAsia" w:ascii="宋体" w:hAnsi="宋体" w:eastAsia="宋体" w:cs="宋体"/>
          <w:b/>
          <w:bCs/>
          <w:color w:val="auto"/>
          <w:spacing w:val="0"/>
          <w:sz w:val="24"/>
          <w:szCs w:val="24"/>
          <w:highlight w:val="none"/>
        </w:rPr>
        <w:t>封面</w:t>
      </w:r>
      <w:bookmarkEnd w:id="228"/>
    </w:p>
    <w:p w14:paraId="4B83789F">
      <w:pPr>
        <w:pStyle w:val="6"/>
        <w:keepNext w:val="0"/>
        <w:keepLines w:val="0"/>
        <w:pageBreakBefore w:val="0"/>
        <w:kinsoku/>
        <w:wordWrap w:val="0"/>
        <w:overflowPunct/>
        <w:topLinePunct/>
        <w:bidi w:val="0"/>
        <w:spacing w:line="258" w:lineRule="auto"/>
        <w:rPr>
          <w:rFonts w:hint="eastAsia" w:ascii="宋体" w:hAnsi="宋体" w:eastAsia="宋体" w:cs="宋体"/>
          <w:color w:val="auto"/>
          <w:spacing w:val="0"/>
          <w:highlight w:val="none"/>
        </w:rPr>
      </w:pPr>
    </w:p>
    <w:p w14:paraId="4E95D65A">
      <w:pPr>
        <w:pStyle w:val="6"/>
        <w:keepNext w:val="0"/>
        <w:keepLines w:val="0"/>
        <w:pageBreakBefore w:val="0"/>
        <w:kinsoku/>
        <w:wordWrap w:val="0"/>
        <w:overflowPunct/>
        <w:topLinePunct/>
        <w:bidi w:val="0"/>
        <w:spacing w:line="259" w:lineRule="auto"/>
        <w:rPr>
          <w:rFonts w:hint="eastAsia" w:ascii="宋体" w:hAnsi="宋体" w:eastAsia="宋体" w:cs="宋体"/>
          <w:color w:val="auto"/>
          <w:spacing w:val="0"/>
          <w:highlight w:val="none"/>
        </w:rPr>
      </w:pPr>
    </w:p>
    <w:p w14:paraId="421CF41B">
      <w:pPr>
        <w:pStyle w:val="6"/>
        <w:keepNext w:val="0"/>
        <w:keepLines w:val="0"/>
        <w:pageBreakBefore w:val="0"/>
        <w:kinsoku/>
        <w:wordWrap w:val="0"/>
        <w:overflowPunct/>
        <w:topLinePunct/>
        <w:bidi w:val="0"/>
        <w:spacing w:line="259" w:lineRule="auto"/>
        <w:rPr>
          <w:rFonts w:hint="eastAsia" w:ascii="宋体" w:hAnsi="宋体" w:eastAsia="宋体" w:cs="宋体"/>
          <w:color w:val="auto"/>
          <w:spacing w:val="0"/>
          <w:highlight w:val="none"/>
        </w:rPr>
      </w:pPr>
    </w:p>
    <w:p w14:paraId="5E56A0E4">
      <w:pPr>
        <w:pStyle w:val="6"/>
        <w:keepNext w:val="0"/>
        <w:keepLines w:val="0"/>
        <w:pageBreakBefore w:val="0"/>
        <w:kinsoku/>
        <w:wordWrap w:val="0"/>
        <w:overflowPunct/>
        <w:topLinePunct/>
        <w:bidi w:val="0"/>
        <w:spacing w:line="259" w:lineRule="auto"/>
        <w:rPr>
          <w:rFonts w:hint="eastAsia" w:ascii="宋体" w:hAnsi="宋体" w:eastAsia="宋体" w:cs="宋体"/>
          <w:color w:val="auto"/>
          <w:spacing w:val="0"/>
          <w:highlight w:val="none"/>
        </w:rPr>
      </w:pPr>
    </w:p>
    <w:p w14:paraId="50BC173C">
      <w:pPr>
        <w:pStyle w:val="6"/>
        <w:keepNext w:val="0"/>
        <w:keepLines w:val="0"/>
        <w:pageBreakBefore w:val="0"/>
        <w:kinsoku/>
        <w:wordWrap w:val="0"/>
        <w:overflowPunct/>
        <w:topLinePunct/>
        <w:bidi w:val="0"/>
        <w:spacing w:line="259" w:lineRule="auto"/>
        <w:rPr>
          <w:rFonts w:hint="eastAsia" w:ascii="宋体" w:hAnsi="宋体" w:eastAsia="宋体" w:cs="宋体"/>
          <w:color w:val="auto"/>
          <w:spacing w:val="0"/>
          <w:highlight w:val="none"/>
        </w:rPr>
      </w:pPr>
    </w:p>
    <w:p w14:paraId="45A2630F">
      <w:pPr>
        <w:keepNext w:val="0"/>
        <w:keepLines w:val="0"/>
        <w:pageBreakBefore w:val="0"/>
        <w:kinsoku/>
        <w:wordWrap w:val="0"/>
        <w:overflowPunct/>
        <w:topLinePunct/>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797A39A4">
      <w:pPr>
        <w:pStyle w:val="6"/>
        <w:keepNext w:val="0"/>
        <w:keepLines w:val="0"/>
        <w:pageBreakBefore w:val="0"/>
        <w:kinsoku/>
        <w:wordWrap w:val="0"/>
        <w:overflowPunct/>
        <w:topLinePunct/>
        <w:bidi w:val="0"/>
        <w:spacing w:line="247" w:lineRule="auto"/>
        <w:rPr>
          <w:rFonts w:hint="eastAsia" w:ascii="宋体" w:hAnsi="宋体" w:eastAsia="宋体" w:cs="宋体"/>
          <w:color w:val="auto"/>
          <w:spacing w:val="0"/>
          <w:highlight w:val="none"/>
        </w:rPr>
      </w:pPr>
    </w:p>
    <w:p w14:paraId="5FCAFDD1">
      <w:pPr>
        <w:pStyle w:val="6"/>
        <w:keepNext w:val="0"/>
        <w:keepLines w:val="0"/>
        <w:pageBreakBefore w:val="0"/>
        <w:kinsoku/>
        <w:wordWrap w:val="0"/>
        <w:overflowPunct/>
        <w:topLinePunct/>
        <w:bidi w:val="0"/>
        <w:spacing w:line="247" w:lineRule="auto"/>
        <w:rPr>
          <w:rFonts w:hint="eastAsia" w:ascii="宋体" w:hAnsi="宋体" w:eastAsia="宋体" w:cs="宋体"/>
          <w:color w:val="auto"/>
          <w:spacing w:val="0"/>
          <w:highlight w:val="none"/>
        </w:rPr>
      </w:pPr>
    </w:p>
    <w:p w14:paraId="3C5F7B35">
      <w:pPr>
        <w:pStyle w:val="6"/>
        <w:keepNext w:val="0"/>
        <w:keepLines w:val="0"/>
        <w:pageBreakBefore w:val="0"/>
        <w:kinsoku/>
        <w:wordWrap w:val="0"/>
        <w:overflowPunct/>
        <w:topLinePunct/>
        <w:bidi w:val="0"/>
        <w:spacing w:line="247" w:lineRule="auto"/>
        <w:rPr>
          <w:rFonts w:hint="eastAsia" w:ascii="宋体" w:hAnsi="宋体" w:eastAsia="宋体" w:cs="宋体"/>
          <w:color w:val="auto"/>
          <w:spacing w:val="0"/>
          <w:highlight w:val="none"/>
        </w:rPr>
      </w:pPr>
    </w:p>
    <w:p w14:paraId="462C690C">
      <w:pPr>
        <w:pStyle w:val="6"/>
        <w:keepNext w:val="0"/>
        <w:keepLines w:val="0"/>
        <w:pageBreakBefore w:val="0"/>
        <w:kinsoku/>
        <w:wordWrap w:val="0"/>
        <w:overflowPunct/>
        <w:topLinePunct/>
        <w:bidi w:val="0"/>
        <w:spacing w:line="247" w:lineRule="auto"/>
        <w:rPr>
          <w:rFonts w:hint="eastAsia" w:ascii="宋体" w:hAnsi="宋体" w:eastAsia="宋体" w:cs="宋体"/>
          <w:color w:val="auto"/>
          <w:spacing w:val="0"/>
          <w:highlight w:val="none"/>
        </w:rPr>
      </w:pPr>
    </w:p>
    <w:p w14:paraId="1DCCE1F6">
      <w:pPr>
        <w:pStyle w:val="6"/>
        <w:keepNext w:val="0"/>
        <w:keepLines w:val="0"/>
        <w:pageBreakBefore w:val="0"/>
        <w:kinsoku/>
        <w:wordWrap w:val="0"/>
        <w:overflowPunct/>
        <w:topLinePunct/>
        <w:bidi w:val="0"/>
        <w:spacing w:line="247" w:lineRule="auto"/>
        <w:rPr>
          <w:rFonts w:hint="eastAsia" w:ascii="宋体" w:hAnsi="宋体" w:eastAsia="宋体" w:cs="宋体"/>
          <w:color w:val="auto"/>
          <w:spacing w:val="0"/>
          <w:highlight w:val="none"/>
        </w:rPr>
      </w:pPr>
    </w:p>
    <w:p w14:paraId="184A3131">
      <w:pPr>
        <w:pStyle w:val="6"/>
        <w:keepNext w:val="0"/>
        <w:keepLines w:val="0"/>
        <w:pageBreakBefore w:val="0"/>
        <w:kinsoku/>
        <w:wordWrap w:val="0"/>
        <w:overflowPunct/>
        <w:topLinePunct/>
        <w:bidi w:val="0"/>
        <w:spacing w:line="247" w:lineRule="auto"/>
        <w:rPr>
          <w:rFonts w:hint="eastAsia" w:ascii="宋体" w:hAnsi="宋体" w:eastAsia="宋体" w:cs="宋体"/>
          <w:color w:val="auto"/>
          <w:spacing w:val="0"/>
          <w:highlight w:val="none"/>
        </w:rPr>
      </w:pPr>
    </w:p>
    <w:p w14:paraId="426D31BA">
      <w:pPr>
        <w:pStyle w:val="6"/>
        <w:keepNext w:val="0"/>
        <w:keepLines w:val="0"/>
        <w:pageBreakBefore w:val="0"/>
        <w:kinsoku/>
        <w:wordWrap w:val="0"/>
        <w:overflowPunct/>
        <w:topLinePunct/>
        <w:bidi w:val="0"/>
        <w:spacing w:line="247" w:lineRule="auto"/>
        <w:rPr>
          <w:rFonts w:hint="eastAsia" w:ascii="宋体" w:hAnsi="宋体" w:eastAsia="宋体" w:cs="宋体"/>
          <w:color w:val="auto"/>
          <w:spacing w:val="0"/>
          <w:highlight w:val="none"/>
        </w:rPr>
      </w:pPr>
    </w:p>
    <w:p w14:paraId="6F62CA11">
      <w:pPr>
        <w:pStyle w:val="6"/>
        <w:keepNext w:val="0"/>
        <w:keepLines w:val="0"/>
        <w:pageBreakBefore w:val="0"/>
        <w:kinsoku/>
        <w:wordWrap w:val="0"/>
        <w:overflowPunct/>
        <w:topLinePunct/>
        <w:bidi w:val="0"/>
        <w:spacing w:line="247" w:lineRule="auto"/>
        <w:rPr>
          <w:rFonts w:hint="eastAsia" w:ascii="宋体" w:hAnsi="宋体" w:eastAsia="宋体" w:cs="宋体"/>
          <w:color w:val="auto"/>
          <w:spacing w:val="0"/>
          <w:highlight w:val="none"/>
        </w:rPr>
      </w:pPr>
    </w:p>
    <w:p w14:paraId="02B3677A">
      <w:pPr>
        <w:pStyle w:val="6"/>
        <w:keepNext w:val="0"/>
        <w:keepLines w:val="0"/>
        <w:pageBreakBefore w:val="0"/>
        <w:kinsoku/>
        <w:wordWrap w:val="0"/>
        <w:overflowPunct/>
        <w:topLinePunct/>
        <w:bidi w:val="0"/>
        <w:spacing w:line="248" w:lineRule="auto"/>
        <w:rPr>
          <w:rFonts w:hint="eastAsia" w:ascii="宋体" w:hAnsi="宋体" w:eastAsia="宋体" w:cs="宋体"/>
          <w:color w:val="auto"/>
          <w:spacing w:val="0"/>
          <w:highlight w:val="none"/>
        </w:rPr>
      </w:pPr>
    </w:p>
    <w:p w14:paraId="42EFB5BD">
      <w:pPr>
        <w:keepNext w:val="0"/>
        <w:keepLines w:val="0"/>
        <w:pageBreakBefore w:val="0"/>
        <w:kinsoku/>
        <w:wordWrap w:val="0"/>
        <w:overflowPunct/>
        <w:topLinePunct/>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lang w:val="en-US" w:eastAsia="zh-CN"/>
        </w:rPr>
        <w:t>定</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4EDD9E32">
      <w:pPr>
        <w:pStyle w:val="6"/>
        <w:keepNext w:val="0"/>
        <w:keepLines w:val="0"/>
        <w:pageBreakBefore w:val="0"/>
        <w:kinsoku/>
        <w:wordWrap w:val="0"/>
        <w:overflowPunct/>
        <w:topLinePunct/>
        <w:bidi w:val="0"/>
        <w:spacing w:line="293" w:lineRule="auto"/>
        <w:rPr>
          <w:rFonts w:hint="eastAsia" w:ascii="宋体" w:hAnsi="宋体" w:eastAsia="宋体" w:cs="宋体"/>
          <w:color w:val="auto"/>
          <w:spacing w:val="0"/>
          <w:highlight w:val="none"/>
        </w:rPr>
      </w:pPr>
    </w:p>
    <w:p w14:paraId="16F874B9">
      <w:pPr>
        <w:pStyle w:val="6"/>
        <w:keepNext w:val="0"/>
        <w:keepLines w:val="0"/>
        <w:pageBreakBefore w:val="0"/>
        <w:kinsoku/>
        <w:wordWrap w:val="0"/>
        <w:overflowPunct/>
        <w:topLinePunct/>
        <w:bidi w:val="0"/>
        <w:spacing w:line="293" w:lineRule="auto"/>
        <w:rPr>
          <w:rFonts w:hint="eastAsia" w:ascii="宋体" w:hAnsi="宋体" w:eastAsia="宋体" w:cs="宋体"/>
          <w:color w:val="auto"/>
          <w:spacing w:val="0"/>
          <w:highlight w:val="none"/>
        </w:rPr>
      </w:pPr>
    </w:p>
    <w:p w14:paraId="7D6EE923">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0B945E12">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07A48800">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7731F929">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1D3C8830">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2756F757">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5BACE179">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55C20FD5">
      <w:pPr>
        <w:keepNext w:val="0"/>
        <w:keepLines w:val="0"/>
        <w:pageBreakBefore w:val="0"/>
        <w:kinsoku/>
        <w:wordWrap w:val="0"/>
        <w:overflowPunct/>
        <w:topLinePunct/>
        <w:bidi w:val="0"/>
        <w:rPr>
          <w:rFonts w:hint="eastAsia" w:ascii="宋体" w:hAnsi="宋体" w:eastAsia="宋体" w:cs="宋体"/>
          <w:color w:val="auto"/>
          <w:spacing w:val="0"/>
          <w:highlight w:val="none"/>
        </w:rPr>
      </w:pPr>
    </w:p>
    <w:p w14:paraId="38E37C8E">
      <w:pPr>
        <w:pStyle w:val="47"/>
        <w:keepNext w:val="0"/>
        <w:keepLines w:val="0"/>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602DD128">
      <w:pPr>
        <w:pStyle w:val="47"/>
        <w:keepNext w:val="0"/>
        <w:keepLines w:val="0"/>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1DAE7E32">
      <w:pPr>
        <w:pStyle w:val="47"/>
        <w:keepNext w:val="0"/>
        <w:keepLines w:val="0"/>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0C8120E5">
      <w:pPr>
        <w:pStyle w:val="47"/>
        <w:keepNext w:val="0"/>
        <w:keepLines w:val="0"/>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0BCA302F">
      <w:pPr>
        <w:pStyle w:val="47"/>
        <w:keepNext w:val="0"/>
        <w:keepLines w:val="0"/>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027523A3">
      <w:pPr>
        <w:pStyle w:val="47"/>
        <w:keepNext w:val="0"/>
        <w:keepLines w:val="0"/>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184BF814">
      <w:pPr>
        <w:pStyle w:val="47"/>
        <w:keepNext w:val="0"/>
        <w:keepLines w:val="0"/>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03286E3C">
      <w:pPr>
        <w:keepNext w:val="0"/>
        <w:keepLines w:val="0"/>
        <w:pageBreakBefore w:val="0"/>
        <w:kinsoku/>
        <w:wordWrap w:val="0"/>
        <w:overflowPunct/>
        <w:topLinePunct/>
        <w:bidi w:val="0"/>
        <w:spacing w:line="500" w:lineRule="exact"/>
        <w:jc w:val="left"/>
        <w:outlineLvl w:val="2"/>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br w:type="page"/>
      </w:r>
      <w:bookmarkStart w:id="229" w:name="_Toc25933"/>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十八</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定标因素评审资料</w:t>
      </w:r>
      <w:bookmarkEnd w:id="229"/>
    </w:p>
    <w:p w14:paraId="402455FA">
      <w:pPr>
        <w:keepNext w:val="0"/>
        <w:keepLines w:val="0"/>
        <w:pageBreakBefore w:val="0"/>
        <w:kinsoku/>
        <w:wordWrap w:val="0"/>
        <w:overflowPunct/>
        <w:topLinePunct/>
        <w:bidi w:val="0"/>
        <w:spacing w:line="500" w:lineRule="exact"/>
        <w:jc w:val="center"/>
        <w:outlineLvl w:val="2"/>
        <w:rPr>
          <w:rFonts w:hint="eastAsia" w:ascii="宋体" w:hAnsi="宋体" w:eastAsia="宋体" w:cs="宋体"/>
          <w:b/>
          <w:bCs/>
          <w:color w:val="auto"/>
          <w:sz w:val="30"/>
          <w:szCs w:val="30"/>
          <w:highlight w:val="none"/>
          <w:lang w:eastAsia="zh-CN"/>
        </w:rPr>
      </w:pPr>
      <w:bookmarkStart w:id="230" w:name="_Toc4955"/>
      <w:bookmarkStart w:id="231" w:name="_Toc2251"/>
      <w:r>
        <w:rPr>
          <w:rFonts w:hint="eastAsia" w:ascii="宋体" w:hAnsi="宋体" w:eastAsia="宋体" w:cs="宋体"/>
          <w:b/>
          <w:bCs/>
          <w:color w:val="auto"/>
          <w:sz w:val="30"/>
          <w:szCs w:val="30"/>
          <w:highlight w:val="none"/>
          <w:lang w:eastAsia="zh-CN"/>
        </w:rPr>
        <w:t>定标因素评审资料</w:t>
      </w:r>
      <w:bookmarkEnd w:id="230"/>
      <w:bookmarkEnd w:id="231"/>
    </w:p>
    <w:p w14:paraId="6EB2C9D5">
      <w:pPr>
        <w:keepNext w:val="0"/>
        <w:keepLines w:val="0"/>
        <w:pageBreakBefore w:val="0"/>
        <w:kinsoku/>
        <w:wordWrap w:val="0"/>
        <w:overflowPunct/>
        <w:topLinePunct/>
        <w:bidi w:val="0"/>
        <w:jc w:val="left"/>
        <w:rPr>
          <w:rFonts w:hint="eastAsia" w:ascii="宋体" w:hAnsi="宋体" w:eastAsia="宋体" w:cs="宋体"/>
          <w:color w:val="auto"/>
          <w:sz w:val="24"/>
          <w:highlight w:val="none"/>
          <w:lang w:eastAsia="zh-CN"/>
        </w:rPr>
      </w:pPr>
    </w:p>
    <w:p w14:paraId="550A5164">
      <w:pPr>
        <w:keepNext w:val="0"/>
        <w:keepLines w:val="0"/>
        <w:pageBreakBefore w:val="0"/>
        <w:kinsoku/>
        <w:wordWrap w:val="0"/>
        <w:overflowPunct/>
        <w:topLinePunct/>
        <w:bidi w:val="0"/>
        <w:spacing w:line="50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 xml:space="preserve">章 </w:t>
      </w:r>
      <w:r>
        <w:rPr>
          <w:rFonts w:hint="eastAsia" w:ascii="宋体" w:hAnsi="宋体" w:eastAsia="宋体" w:cs="宋体"/>
          <w:b/>
          <w:bCs/>
          <w:color w:val="auto"/>
          <w:sz w:val="24"/>
          <w:szCs w:val="24"/>
          <w:highlight w:val="none"/>
          <w:lang w:val="en-US" w:eastAsia="zh-CN"/>
        </w:rPr>
        <w:t>第三节 16.5”载明的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r>
        <w:rPr>
          <w:rFonts w:hint="eastAsia" w:ascii="宋体" w:hAnsi="宋体" w:eastAsia="宋体" w:cs="宋体"/>
          <w:b/>
          <w:bCs/>
          <w:color w:val="auto"/>
          <w:sz w:val="24"/>
          <w:szCs w:val="24"/>
          <w:highlight w:val="none"/>
          <w:lang w:val="en-US" w:eastAsia="zh-CN"/>
        </w:rPr>
        <w:t>提交的评审资料包括但不限于以下内容</w:t>
      </w:r>
      <w:r>
        <w:rPr>
          <w:rFonts w:hint="eastAsia" w:ascii="宋体" w:hAnsi="宋体" w:eastAsia="宋体" w:cs="宋体"/>
          <w:b/>
          <w:bCs/>
          <w:color w:val="auto"/>
          <w:sz w:val="24"/>
          <w:szCs w:val="24"/>
          <w:highlight w:val="none"/>
          <w:lang w:eastAsia="zh-CN"/>
        </w:rPr>
        <w:t>。</w:t>
      </w:r>
    </w:p>
    <w:p w14:paraId="50FEB7CC">
      <w:pPr>
        <w:keepNext w:val="0"/>
        <w:keepLines w:val="0"/>
        <w:pageBreakBefore w:val="0"/>
        <w:widowControl w:val="0"/>
        <w:kinsoku/>
        <w:wordWrap w:val="0"/>
        <w:overflowPunct/>
        <w:topLinePunct/>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p>
    <w:p w14:paraId="065E7654">
      <w:pPr>
        <w:keepNext w:val="0"/>
        <w:keepLines w:val="0"/>
        <w:pageBreakBefore w:val="0"/>
        <w:widowControl w:val="0"/>
        <w:kinsoku/>
        <w:wordWrap w:val="0"/>
        <w:overflowPunct/>
        <w:topLinePunct/>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3644B8D6">
      <w:pPr>
        <w:keepNext w:val="0"/>
        <w:keepLines w:val="0"/>
        <w:pageBreakBefore w:val="0"/>
        <w:widowControl w:val="0"/>
        <w:kinsoku/>
        <w:wordWrap w:val="0"/>
        <w:overflowPunct/>
        <w:topLinePunct/>
        <w:autoSpaceDE/>
        <w:autoSpaceDN/>
        <w:bidi w:val="0"/>
        <w:adjustRightInd/>
        <w:snapToGrid/>
        <w:spacing w:line="400" w:lineRule="exact"/>
        <w:ind w:left="479" w:leftChars="228" w:right="0" w:rightChars="0" w:firstLine="0" w:firstLineChars="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（3）农民工工资保障情况</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（4）技术方案</w:t>
      </w:r>
    </w:p>
    <w:p w14:paraId="1FC04D16">
      <w:pPr>
        <w:keepNext w:val="0"/>
        <w:keepLines w:val="0"/>
        <w:pageBreakBefore w:val="0"/>
        <w:widowControl w:val="0"/>
        <w:kinsoku/>
        <w:wordWrap w:val="0"/>
        <w:overflowPunct/>
        <w:topLinePunct/>
        <w:autoSpaceDE/>
        <w:autoSpaceDN/>
        <w:bidi w:val="0"/>
        <w:adjustRightInd/>
        <w:snapToGrid/>
        <w:spacing w:line="400" w:lineRule="exact"/>
        <w:ind w:left="479" w:leftChars="228" w:right="0" w:rightChars="0" w:firstLine="0" w:firstLineChars="0"/>
        <w:jc w:val="both"/>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（5）服务响应能力</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（6）</w:t>
      </w:r>
      <w:r>
        <w:rPr>
          <w:rFonts w:hint="eastAsia" w:ascii="宋体" w:hAnsi="宋体" w:eastAsia="宋体" w:cs="宋体"/>
          <w:color w:val="auto"/>
          <w:spacing w:val="0"/>
          <w:sz w:val="24"/>
          <w:szCs w:val="24"/>
          <w:highlight w:val="none"/>
        </w:rPr>
        <w:t>投标人认为有必要补充的其他资料</w:t>
      </w:r>
    </w:p>
    <w:p w14:paraId="2B76070B">
      <w:pPr>
        <w:keepNext w:val="0"/>
        <w:keepLines w:val="0"/>
        <w:pageBreakBefore w:val="0"/>
        <w:kinsoku/>
        <w:wordWrap w:val="0"/>
        <w:overflowPunct/>
        <w:topLinePunct/>
        <w:bidi w:val="0"/>
        <w:spacing w:line="540" w:lineRule="exact"/>
        <w:ind w:firstLine="862" w:firstLineChars="308"/>
        <w:rPr>
          <w:rFonts w:hint="eastAsia" w:ascii="宋体" w:hAnsi="宋体" w:eastAsia="宋体" w:cs="宋体"/>
          <w:color w:val="auto"/>
          <w:sz w:val="28"/>
          <w:szCs w:val="28"/>
          <w:highlight w:val="none"/>
        </w:rPr>
      </w:pPr>
    </w:p>
    <w:p w14:paraId="58D86F4C">
      <w:pPr>
        <w:keepNext w:val="0"/>
        <w:keepLines w:val="0"/>
        <w:pageBreakBefore w:val="0"/>
        <w:kinsoku/>
        <w:wordWrap w:val="0"/>
        <w:overflowPunct/>
        <w:topLinePunct/>
        <w:bidi w:val="0"/>
        <w:rPr>
          <w:rFonts w:hint="eastAsia" w:ascii="宋体" w:hAnsi="宋体" w:eastAsia="宋体" w:cs="宋体"/>
          <w:b/>
          <w:bCs/>
          <w:color w:val="auto"/>
          <w:spacing w:val="0"/>
          <w:sz w:val="24"/>
          <w:szCs w:val="24"/>
          <w:highlight w:val="none"/>
        </w:rPr>
      </w:pPr>
    </w:p>
    <w:p w14:paraId="3EB50C17">
      <w:pPr>
        <w:keepNext w:val="0"/>
        <w:keepLines w:val="0"/>
        <w:pageBreakBefore w:val="0"/>
        <w:kinsoku/>
        <w:wordWrap w:val="0"/>
        <w:overflowPunct/>
        <w:topLinePunct/>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2477BD5A">
      <w:pPr>
        <w:keepNext w:val="0"/>
        <w:keepLines w:val="0"/>
        <w:pageBreakBefore w:val="0"/>
        <w:kinsoku/>
        <w:wordWrap w:val="0"/>
        <w:overflowPunct/>
        <w:topLinePunct/>
        <w:bidi w:val="0"/>
        <w:spacing w:before="78" w:line="219" w:lineRule="auto"/>
        <w:jc w:val="center"/>
        <w:outlineLvl w:val="1"/>
        <w:rPr>
          <w:rFonts w:hint="eastAsia" w:ascii="宋体" w:hAnsi="宋体" w:eastAsia="宋体" w:cs="宋体"/>
          <w:color w:val="auto"/>
          <w:spacing w:val="0"/>
          <w:sz w:val="28"/>
          <w:szCs w:val="28"/>
          <w:highlight w:val="none"/>
        </w:rPr>
      </w:pPr>
      <w:bookmarkStart w:id="232" w:name="_Toc18930"/>
      <w:r>
        <w:rPr>
          <w:rFonts w:hint="eastAsia" w:ascii="宋体" w:hAnsi="宋体" w:eastAsia="宋体" w:cs="宋体"/>
          <w:b/>
          <w:bCs/>
          <w:color w:val="auto"/>
          <w:spacing w:val="0"/>
          <w:sz w:val="28"/>
          <w:szCs w:val="28"/>
          <w:highlight w:val="none"/>
        </w:rPr>
        <w:t>第七章</w:t>
      </w:r>
      <w:r>
        <w:rPr>
          <w:rFonts w:hint="eastAsia" w:ascii="宋体" w:hAnsi="宋体" w:eastAsia="宋体" w:cs="宋体"/>
          <w:color w:val="auto"/>
          <w:spacing w:val="0"/>
          <w:sz w:val="28"/>
          <w:szCs w:val="28"/>
          <w:highlight w:val="none"/>
        </w:rPr>
        <w:t xml:space="preserve"> </w:t>
      </w:r>
      <w:r>
        <w:rPr>
          <w:rFonts w:hint="eastAsia" w:ascii="宋体" w:hAnsi="宋体" w:eastAsia="宋体" w:cs="宋体"/>
          <w:b/>
          <w:bCs/>
          <w:color w:val="auto"/>
          <w:spacing w:val="0"/>
          <w:sz w:val="28"/>
          <w:szCs w:val="28"/>
          <w:highlight w:val="none"/>
        </w:rPr>
        <w:t>建设工程施工合同</w:t>
      </w:r>
      <w:bookmarkEnd w:id="232"/>
    </w:p>
    <w:p w14:paraId="7D00A241">
      <w:pPr>
        <w:pStyle w:val="6"/>
        <w:keepNext w:val="0"/>
        <w:keepLines w:val="0"/>
        <w:pageBreakBefore w:val="0"/>
        <w:kinsoku/>
        <w:wordWrap w:val="0"/>
        <w:overflowPunct/>
        <w:topLinePunct/>
        <w:bidi w:val="0"/>
        <w:spacing w:line="257" w:lineRule="auto"/>
        <w:rPr>
          <w:rFonts w:hint="eastAsia" w:ascii="宋体" w:hAnsi="宋体" w:eastAsia="宋体" w:cs="宋体"/>
          <w:color w:val="auto"/>
          <w:spacing w:val="0"/>
          <w:highlight w:val="none"/>
        </w:rPr>
      </w:pPr>
    </w:p>
    <w:p w14:paraId="63DBF55F">
      <w:pPr>
        <w:keepNext w:val="0"/>
        <w:keepLines w:val="0"/>
        <w:pageBreakBefore w:val="0"/>
        <w:kinsoku/>
        <w:wordWrap w:val="0"/>
        <w:overflowPunct/>
        <w:topLinePunct/>
        <w:bidi w:val="0"/>
        <w:spacing w:before="78"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（略），按《广东省建设工程标准施工合同》（2009年版）或《建设工程施工合同（示范文本）》（GF—2017—0201）执行。</w:t>
      </w:r>
    </w:p>
    <w:p w14:paraId="6190D889">
      <w:pPr>
        <w:keepNext w:val="0"/>
        <w:keepLines w:val="0"/>
        <w:pageBreakBefore w:val="0"/>
        <w:kinsoku/>
        <w:wordWrap w:val="0"/>
        <w:overflowPunct/>
        <w:topLinePunct/>
        <w:bidi w:val="0"/>
        <w:rPr>
          <w:rFonts w:hint="eastAsia" w:ascii="宋体" w:hAnsi="宋体" w:eastAsia="宋体" w:cs="宋体"/>
          <w:color w:val="auto"/>
          <w:spacing w:val="0"/>
          <w:highlight w:val="none"/>
        </w:rPr>
      </w:pPr>
    </w:p>
    <w:sectPr>
      <w:pgSz w:w="11906" w:h="16839"/>
      <w:pgMar w:top="1247" w:right="1247" w:bottom="1247" w:left="1247" w:header="1202" w:footer="1020"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D7BFA">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D4190">
                          <w:pPr>
                            <w:pStyle w:val="10"/>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9D4190">
                    <w:pPr>
                      <w:pStyle w:val="10"/>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56F57">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3A7C0D">
                          <w:pPr>
                            <w:pStyle w:val="10"/>
                          </w:pPr>
                          <w:r>
                            <w:t xml:space="preserve">— </w:t>
                          </w:r>
                          <w:r>
                            <w:fldChar w:fldCharType="begin"/>
                          </w:r>
                          <w:r>
                            <w:instrText xml:space="preserve"> PAGE  \* MERGEFORMAT </w:instrText>
                          </w:r>
                          <w:r>
                            <w:fldChar w:fldCharType="separate"/>
                          </w:r>
                          <w:r>
                            <w:t>65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A3A7C0D">
                    <w:pPr>
                      <w:pStyle w:val="10"/>
                    </w:pPr>
                    <w:r>
                      <w:t xml:space="preserve">— </w:t>
                    </w:r>
                    <w:r>
                      <w:fldChar w:fldCharType="begin"/>
                    </w:r>
                    <w:r>
                      <w:instrText xml:space="preserve"> PAGE  \* MERGEFORMAT </w:instrText>
                    </w:r>
                    <w:r>
                      <w:fldChar w:fldCharType="separate"/>
                    </w:r>
                    <w:r>
                      <w:t>65</w:t>
                    </w:r>
                    <w:r>
                      <w:fldChar w:fldCharType="end"/>
                    </w:r>
                    <w: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11FD5">
    <w:pPr>
      <w:pStyle w:val="1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87671">
                          <w:pPr>
                            <w:pStyle w:val="10"/>
                          </w:pPr>
                          <w:r>
                            <w:t xml:space="preserve">— </w:t>
                          </w:r>
                          <w:r>
                            <w:fldChar w:fldCharType="begin"/>
                          </w:r>
                          <w:r>
                            <w:instrText xml:space="preserve"> PAGE  \* MERGEFORMAT </w:instrText>
                          </w:r>
                          <w:r>
                            <w:fldChar w:fldCharType="separate"/>
                          </w:r>
                          <w:r>
                            <w:t>67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0887671">
                    <w:pPr>
                      <w:pStyle w:val="10"/>
                    </w:pPr>
                    <w:r>
                      <w:t xml:space="preserve">— </w:t>
                    </w:r>
                    <w:r>
                      <w:fldChar w:fldCharType="begin"/>
                    </w:r>
                    <w:r>
                      <w:instrText xml:space="preserve"> PAGE  \* MERGEFORMAT </w:instrText>
                    </w:r>
                    <w:r>
                      <w:fldChar w:fldCharType="separate"/>
                    </w:r>
                    <w:r>
                      <w:t>67</w:t>
                    </w:r>
                    <w:r>
                      <w:fldChar w:fldCharType="end"/>
                    </w:r>
                    <w: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A51E6">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6B5CE9">
                          <w:pPr>
                            <w:pStyle w:val="10"/>
                          </w:pPr>
                          <w:r>
                            <w:t xml:space="preserve">— </w:t>
                          </w:r>
                          <w:r>
                            <w:fldChar w:fldCharType="begin"/>
                          </w:r>
                          <w:r>
                            <w:instrText xml:space="preserve"> PAGE  \* MERGEFORMAT </w:instrText>
                          </w:r>
                          <w:r>
                            <w:fldChar w:fldCharType="separate"/>
                          </w:r>
                          <w:r>
                            <w:t>68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26B5CE9">
                    <w:pPr>
                      <w:pStyle w:val="10"/>
                    </w:pPr>
                    <w:r>
                      <w:t xml:space="preserve">— </w:t>
                    </w:r>
                    <w:r>
                      <w:fldChar w:fldCharType="begin"/>
                    </w:r>
                    <w:r>
                      <w:instrText xml:space="preserve"> PAGE  \* MERGEFORMAT </w:instrText>
                    </w:r>
                    <w:r>
                      <w:fldChar w:fldCharType="separate"/>
                    </w:r>
                    <w:r>
                      <w:t>68</w:t>
                    </w:r>
                    <w:r>
                      <w:fldChar w:fldCharType="end"/>
                    </w:r>
                    <w: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41752">
    <w:pPr>
      <w:pStyle w:val="1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5E7D7">
                          <w:pPr>
                            <w:pStyle w:val="10"/>
                          </w:pPr>
                          <w:r>
                            <w:t xml:space="preserve">— </w:t>
                          </w:r>
                          <w:r>
                            <w:fldChar w:fldCharType="begin"/>
                          </w:r>
                          <w:r>
                            <w:instrText xml:space="preserve"> PAGE  \* MERGEFORMAT </w:instrText>
                          </w:r>
                          <w:r>
                            <w:fldChar w:fldCharType="separate"/>
                          </w:r>
                          <w:r>
                            <w:t>70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005E7D7">
                    <w:pPr>
                      <w:pStyle w:val="10"/>
                    </w:pPr>
                    <w:r>
                      <w:t xml:space="preserve">— </w:t>
                    </w:r>
                    <w:r>
                      <w:fldChar w:fldCharType="begin"/>
                    </w:r>
                    <w:r>
                      <w:instrText xml:space="preserve"> PAGE  \* MERGEFORMAT </w:instrText>
                    </w:r>
                    <w:r>
                      <w:fldChar w:fldCharType="separate"/>
                    </w:r>
                    <w:r>
                      <w:t>70</w:t>
                    </w:r>
                    <w:r>
                      <w:fldChar w:fldCharType="end"/>
                    </w:r>
                    <w:r>
                      <w:t xml:space="preserve"> —</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7C9FA">
    <w:pPr>
      <w:pStyle w:val="1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84749">
                          <w:pPr>
                            <w:pStyle w:val="10"/>
                          </w:pPr>
                          <w:r>
                            <w:t xml:space="preserve">— </w:t>
                          </w:r>
                          <w:r>
                            <w:fldChar w:fldCharType="begin"/>
                          </w:r>
                          <w:r>
                            <w:instrText xml:space="preserve"> PAGE  \* MERGEFORMAT </w:instrText>
                          </w:r>
                          <w:r>
                            <w:fldChar w:fldCharType="separate"/>
                          </w:r>
                          <w:r>
                            <w:t>72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DC84749">
                    <w:pPr>
                      <w:pStyle w:val="10"/>
                    </w:pPr>
                    <w:r>
                      <w:t xml:space="preserve">— </w:t>
                    </w:r>
                    <w:r>
                      <w:fldChar w:fldCharType="begin"/>
                    </w:r>
                    <w:r>
                      <w:instrText xml:space="preserve"> PAGE  \* MERGEFORMAT </w:instrText>
                    </w:r>
                    <w:r>
                      <w:fldChar w:fldCharType="separate"/>
                    </w:r>
                    <w:r>
                      <w:t>72</w:t>
                    </w:r>
                    <w:r>
                      <w:fldChar w:fldCharType="end"/>
                    </w:r>
                    <w:r>
                      <w:t xml:space="preserve"> —</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721AF">
    <w:pPr>
      <w:pStyle w:val="10"/>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F15E6">
                          <w:pPr>
                            <w:pStyle w:val="10"/>
                          </w:pPr>
                          <w:r>
                            <w:t xml:space="preserve">— </w:t>
                          </w:r>
                          <w:r>
                            <w:fldChar w:fldCharType="begin"/>
                          </w:r>
                          <w:r>
                            <w:instrText xml:space="preserve"> PAGE  \* MERGEFORMAT </w:instrText>
                          </w:r>
                          <w:r>
                            <w:fldChar w:fldCharType="separate"/>
                          </w:r>
                          <w:r>
                            <w:t>73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4CF15E6">
                    <w:pPr>
                      <w:pStyle w:val="10"/>
                    </w:pPr>
                    <w:r>
                      <w:t xml:space="preserve">— </w:t>
                    </w:r>
                    <w:r>
                      <w:fldChar w:fldCharType="begin"/>
                    </w:r>
                    <w:r>
                      <w:instrText xml:space="preserve"> PAGE  \* MERGEFORMAT </w:instrText>
                    </w:r>
                    <w:r>
                      <w:fldChar w:fldCharType="separate"/>
                    </w:r>
                    <w:r>
                      <w:t>73</w:t>
                    </w:r>
                    <w:r>
                      <w:fldChar w:fldCharType="end"/>
                    </w:r>
                    <w:r>
                      <w:t xml:space="preserve"> —</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CEADE">
    <w:pPr>
      <w:pStyle w:val="10"/>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F8F67E">
                          <w:pPr>
                            <w:pStyle w:val="10"/>
                          </w:pPr>
                          <w:r>
                            <w:t xml:space="preserve">— </w:t>
                          </w:r>
                          <w:r>
                            <w:fldChar w:fldCharType="begin"/>
                          </w:r>
                          <w:r>
                            <w:instrText xml:space="preserve"> PAGE  \* MERGEFORMAT </w:instrText>
                          </w:r>
                          <w:r>
                            <w:fldChar w:fldCharType="separate"/>
                          </w:r>
                          <w:r>
                            <w:t>76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45F8F67E">
                    <w:pPr>
                      <w:pStyle w:val="10"/>
                    </w:pPr>
                    <w:r>
                      <w:t xml:space="preserve">— </w:t>
                    </w:r>
                    <w:r>
                      <w:fldChar w:fldCharType="begin"/>
                    </w:r>
                    <w:r>
                      <w:instrText xml:space="preserve"> PAGE  \* MERGEFORMAT </w:instrText>
                    </w:r>
                    <w:r>
                      <w:fldChar w:fldCharType="separate"/>
                    </w:r>
                    <w:r>
                      <w:t>76</w:t>
                    </w:r>
                    <w:r>
                      <w:fldChar w:fldCharType="end"/>
                    </w:r>
                    <w:r>
                      <w:t xml:space="preserve"> —</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47178">
    <w:pPr>
      <w:pStyle w:val="10"/>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49C3F">
                          <w:pPr>
                            <w:pStyle w:val="10"/>
                          </w:pPr>
                          <w:r>
                            <w:t xml:space="preserve">— </w:t>
                          </w:r>
                          <w:r>
                            <w:fldChar w:fldCharType="begin"/>
                          </w:r>
                          <w:r>
                            <w:instrText xml:space="preserve"> PAGE  \* MERGEFORMAT </w:instrText>
                          </w:r>
                          <w:r>
                            <w:fldChar w:fldCharType="separate"/>
                          </w:r>
                          <w:r>
                            <w:t>77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75049C3F">
                    <w:pPr>
                      <w:pStyle w:val="10"/>
                    </w:pPr>
                    <w:r>
                      <w:t xml:space="preserve">— </w:t>
                    </w:r>
                    <w:r>
                      <w:fldChar w:fldCharType="begin"/>
                    </w:r>
                    <w:r>
                      <w:instrText xml:space="preserve"> PAGE  \* MERGEFORMAT </w:instrText>
                    </w:r>
                    <w:r>
                      <w:fldChar w:fldCharType="separate"/>
                    </w:r>
                    <w:r>
                      <w:t>77</w:t>
                    </w:r>
                    <w:r>
                      <w:fldChar w:fldCharType="end"/>
                    </w:r>
                    <w:r>
                      <w:t xml:space="preserve"> —</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024C3">
    <w:pPr>
      <w:pStyle w:val="10"/>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9DD53">
                          <w:pPr>
                            <w:pStyle w:val="10"/>
                          </w:pPr>
                          <w:r>
                            <w:t xml:space="preserve">— </w:t>
                          </w:r>
                          <w:r>
                            <w:fldChar w:fldCharType="begin"/>
                          </w:r>
                          <w:r>
                            <w:instrText xml:space="preserve"> PAGE  \* MERGEFORMAT </w:instrText>
                          </w:r>
                          <w:r>
                            <w:fldChar w:fldCharType="separate"/>
                          </w:r>
                          <w:r>
                            <w:t>78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7669DD53">
                    <w:pPr>
                      <w:pStyle w:val="10"/>
                    </w:pPr>
                    <w:r>
                      <w:t xml:space="preserve">— </w:t>
                    </w:r>
                    <w:r>
                      <w:fldChar w:fldCharType="begin"/>
                    </w:r>
                    <w:r>
                      <w:instrText xml:space="preserve"> PAGE  \* MERGEFORMAT </w:instrText>
                    </w:r>
                    <w:r>
                      <w:fldChar w:fldCharType="separate"/>
                    </w:r>
                    <w:r>
                      <w:t>78</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0B67F">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5730B6">
                          <w:pPr>
                            <w:pStyle w:val="10"/>
                          </w:pPr>
                          <w:r>
                            <w:t xml:space="preserve">— </w:t>
                          </w:r>
                          <w:r>
                            <w:fldChar w:fldCharType="begin"/>
                          </w:r>
                          <w:r>
                            <w:instrText xml:space="preserve"> PAGE  \* MERGEFORMAT </w:instrText>
                          </w:r>
                          <w:r>
                            <w:fldChar w:fldCharType="separate"/>
                          </w:r>
                          <w:r>
                            <w:t>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55730B6">
                    <w:pPr>
                      <w:pStyle w:val="10"/>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98920">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679A7">
                          <w:pPr>
                            <w:pStyle w:val="10"/>
                          </w:pPr>
                          <w:r>
                            <w:t xml:space="preserve">— </w:t>
                          </w:r>
                          <w:r>
                            <w:fldChar w:fldCharType="begin"/>
                          </w:r>
                          <w:r>
                            <w:instrText xml:space="preserve"> PAGE  \* MERGEFORMAT </w:instrText>
                          </w:r>
                          <w:r>
                            <w:fldChar w:fldCharType="separate"/>
                          </w:r>
                          <w:r>
                            <w:t>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F3679A7">
                    <w:pPr>
                      <w:pStyle w:val="10"/>
                    </w:pPr>
                    <w:r>
                      <w:t xml:space="preserve">— </w:t>
                    </w:r>
                    <w:r>
                      <w:fldChar w:fldCharType="begin"/>
                    </w:r>
                    <w:r>
                      <w:instrText xml:space="preserve"> PAGE  \* MERGEFORMAT </w:instrText>
                    </w:r>
                    <w:r>
                      <w:fldChar w:fldCharType="separate"/>
                    </w:r>
                    <w:r>
                      <w:t>9</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0AB49">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CD2462">
                          <w:pPr>
                            <w:pStyle w:val="10"/>
                          </w:pPr>
                          <w:r>
                            <w:t xml:space="preserve">— </w:t>
                          </w:r>
                          <w:r>
                            <w:fldChar w:fldCharType="begin"/>
                          </w:r>
                          <w:r>
                            <w:instrText xml:space="preserve"> PAGE  \* MERGEFORMAT </w:instrText>
                          </w:r>
                          <w:r>
                            <w:fldChar w:fldCharType="separate"/>
                          </w:r>
                          <w:r>
                            <w:t>40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ACD2462">
                    <w:pPr>
                      <w:pStyle w:val="10"/>
                    </w:pPr>
                    <w:r>
                      <w:t xml:space="preserve">— </w:t>
                    </w:r>
                    <w:r>
                      <w:fldChar w:fldCharType="begin"/>
                    </w:r>
                    <w:r>
                      <w:instrText xml:space="preserve"> PAGE  \* MERGEFORMAT </w:instrText>
                    </w:r>
                    <w:r>
                      <w:fldChar w:fldCharType="separate"/>
                    </w:r>
                    <w:r>
                      <w:t>40</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3904F">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536F3">
                          <w:pPr>
                            <w:pStyle w:val="10"/>
                          </w:pPr>
                          <w:r>
                            <w:t xml:space="preserve">— </w:t>
                          </w:r>
                          <w:r>
                            <w:fldChar w:fldCharType="begin"/>
                          </w:r>
                          <w:r>
                            <w:instrText xml:space="preserve"> PAGE  \* MERGEFORMAT </w:instrText>
                          </w:r>
                          <w:r>
                            <w:fldChar w:fldCharType="separate"/>
                          </w:r>
                          <w:r>
                            <w:t>43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EB536F3">
                    <w:pPr>
                      <w:pStyle w:val="10"/>
                    </w:pPr>
                    <w:r>
                      <w:t xml:space="preserve">— </w:t>
                    </w:r>
                    <w:r>
                      <w:fldChar w:fldCharType="begin"/>
                    </w:r>
                    <w:r>
                      <w:instrText xml:space="preserve"> PAGE  \* MERGEFORMAT </w:instrText>
                    </w:r>
                    <w:r>
                      <w:fldChar w:fldCharType="separate"/>
                    </w:r>
                    <w:r>
                      <w:t>43</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36665">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69B49">
                          <w:pPr>
                            <w:pStyle w:val="10"/>
                          </w:pPr>
                          <w:r>
                            <w:t xml:space="preserve">— </w:t>
                          </w:r>
                          <w:r>
                            <w:fldChar w:fldCharType="begin"/>
                          </w:r>
                          <w:r>
                            <w:instrText xml:space="preserve"> PAGE  \* MERGEFORMAT </w:instrText>
                          </w:r>
                          <w:r>
                            <w:fldChar w:fldCharType="separate"/>
                          </w:r>
                          <w:r>
                            <w:t>60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DB69B49">
                    <w:pPr>
                      <w:pStyle w:val="10"/>
                    </w:pPr>
                    <w:r>
                      <w:t xml:space="preserve">— </w:t>
                    </w:r>
                    <w:r>
                      <w:fldChar w:fldCharType="begin"/>
                    </w:r>
                    <w:r>
                      <w:instrText xml:space="preserve"> PAGE  \* MERGEFORMAT </w:instrText>
                    </w:r>
                    <w:r>
                      <w:fldChar w:fldCharType="separate"/>
                    </w:r>
                    <w:r>
                      <w:t>60</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EFB30">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119770">
                          <w:pPr>
                            <w:pStyle w:val="10"/>
                          </w:pPr>
                          <w:r>
                            <w:t xml:space="preserve">— </w:t>
                          </w:r>
                          <w:r>
                            <w:fldChar w:fldCharType="begin"/>
                          </w:r>
                          <w:r>
                            <w:instrText xml:space="preserve"> PAGE  \* MERGEFORMAT </w:instrText>
                          </w:r>
                          <w:r>
                            <w:fldChar w:fldCharType="separate"/>
                          </w:r>
                          <w:r>
                            <w:t>61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D119770">
                    <w:pPr>
                      <w:pStyle w:val="10"/>
                    </w:pPr>
                    <w:r>
                      <w:t xml:space="preserve">— </w:t>
                    </w:r>
                    <w:r>
                      <w:fldChar w:fldCharType="begin"/>
                    </w:r>
                    <w:r>
                      <w:instrText xml:space="preserve"> PAGE  \* MERGEFORMAT </w:instrText>
                    </w:r>
                    <w:r>
                      <w:fldChar w:fldCharType="separate"/>
                    </w:r>
                    <w:r>
                      <w:t>61</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BED50">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11CC8">
                          <w:pPr>
                            <w:pStyle w:val="10"/>
                          </w:pPr>
                          <w:r>
                            <w:t xml:space="preserve">— </w:t>
                          </w:r>
                          <w:r>
                            <w:fldChar w:fldCharType="begin"/>
                          </w:r>
                          <w:r>
                            <w:instrText xml:space="preserve"> PAGE  \* MERGEFORMAT </w:instrText>
                          </w:r>
                          <w:r>
                            <w:fldChar w:fldCharType="separate"/>
                          </w:r>
                          <w:r>
                            <w:t>62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7611CC8">
                    <w:pPr>
                      <w:pStyle w:val="10"/>
                    </w:pPr>
                    <w:r>
                      <w:t xml:space="preserve">— </w:t>
                    </w:r>
                    <w:r>
                      <w:fldChar w:fldCharType="begin"/>
                    </w:r>
                    <w:r>
                      <w:instrText xml:space="preserve"> PAGE  \* MERGEFORMAT </w:instrText>
                    </w:r>
                    <w:r>
                      <w:fldChar w:fldCharType="separate"/>
                    </w:r>
                    <w:r>
                      <w:t>62</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166F1">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C8327">
                          <w:pPr>
                            <w:pStyle w:val="10"/>
                          </w:pPr>
                          <w:r>
                            <w:t xml:space="preserve">— </w:t>
                          </w:r>
                          <w:r>
                            <w:fldChar w:fldCharType="begin"/>
                          </w:r>
                          <w:r>
                            <w:instrText xml:space="preserve"> PAGE  \* MERGEFORMAT </w:instrText>
                          </w:r>
                          <w:r>
                            <w:fldChar w:fldCharType="separate"/>
                          </w:r>
                          <w:r>
                            <w:t>63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3BC8327">
                    <w:pPr>
                      <w:pStyle w:val="10"/>
                    </w:pPr>
                    <w:r>
                      <w:t xml:space="preserve">— </w:t>
                    </w:r>
                    <w:r>
                      <w:fldChar w:fldCharType="begin"/>
                    </w:r>
                    <w:r>
                      <w:instrText xml:space="preserve"> PAGE  \* MERGEFORMAT </w:instrText>
                    </w:r>
                    <w:r>
                      <w:fldChar w:fldCharType="separate"/>
                    </w:r>
                    <w:r>
                      <w:t>63</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FA5B1">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FF1ED">
    <w:pPr>
      <w:pStyle w:val="6"/>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3F913">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5D8A57"/>
    <w:multiLevelType w:val="singleLevel"/>
    <w:tmpl w:val="A55D8A57"/>
    <w:lvl w:ilvl="0" w:tentative="0">
      <w:start w:val="6"/>
      <w:numFmt w:val="decimal"/>
      <w:suff w:val="space"/>
      <w:lvlText w:val="%1."/>
      <w:lvlJc w:val="left"/>
    </w:lvl>
  </w:abstractNum>
  <w:abstractNum w:abstractNumId="1">
    <w:nsid w:val="E6C9BDCA"/>
    <w:multiLevelType w:val="singleLevel"/>
    <w:tmpl w:val="E6C9BDCA"/>
    <w:lvl w:ilvl="0" w:tentative="0">
      <w:start w:val="1"/>
      <w:numFmt w:val="decimal"/>
      <w:suff w:val="nothing"/>
      <w:lvlText w:val="（%1）"/>
      <w:lvlJc w:val="left"/>
    </w:lvl>
  </w:abstractNum>
  <w:abstractNum w:abstractNumId="2">
    <w:nsid w:val="66FFB350"/>
    <w:multiLevelType w:val="multilevel"/>
    <w:tmpl w:val="66FFB350"/>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yODMzNWFhZGNiZjMwMDI0NjBhMDA1NzA0YTgwODcifQ=="/>
  </w:docVars>
  <w:rsids>
    <w:rsidRoot w:val="4F582EF7"/>
    <w:rsid w:val="000D6A89"/>
    <w:rsid w:val="0012211A"/>
    <w:rsid w:val="003A4DB8"/>
    <w:rsid w:val="003C1E8F"/>
    <w:rsid w:val="003F512F"/>
    <w:rsid w:val="00473031"/>
    <w:rsid w:val="004F4B45"/>
    <w:rsid w:val="00515C5E"/>
    <w:rsid w:val="00D26D9F"/>
    <w:rsid w:val="00D602C5"/>
    <w:rsid w:val="00D61DC8"/>
    <w:rsid w:val="00F661CB"/>
    <w:rsid w:val="01203FAE"/>
    <w:rsid w:val="012A2737"/>
    <w:rsid w:val="013F232E"/>
    <w:rsid w:val="014B09BB"/>
    <w:rsid w:val="014C6B51"/>
    <w:rsid w:val="016471F9"/>
    <w:rsid w:val="01916C5A"/>
    <w:rsid w:val="01B841E6"/>
    <w:rsid w:val="01D95F0B"/>
    <w:rsid w:val="02337D11"/>
    <w:rsid w:val="02672D80"/>
    <w:rsid w:val="026E699E"/>
    <w:rsid w:val="0273635F"/>
    <w:rsid w:val="027619AC"/>
    <w:rsid w:val="02861F0A"/>
    <w:rsid w:val="02AA30B8"/>
    <w:rsid w:val="02B7625C"/>
    <w:rsid w:val="02BF0C55"/>
    <w:rsid w:val="02BF212C"/>
    <w:rsid w:val="03091250"/>
    <w:rsid w:val="03200BA0"/>
    <w:rsid w:val="032C4E8C"/>
    <w:rsid w:val="0333345C"/>
    <w:rsid w:val="0358304C"/>
    <w:rsid w:val="035D0AB7"/>
    <w:rsid w:val="03696A9E"/>
    <w:rsid w:val="037C563F"/>
    <w:rsid w:val="038453D9"/>
    <w:rsid w:val="039E06FB"/>
    <w:rsid w:val="03B524C9"/>
    <w:rsid w:val="03C5042E"/>
    <w:rsid w:val="04021749"/>
    <w:rsid w:val="04200D92"/>
    <w:rsid w:val="043C0BB8"/>
    <w:rsid w:val="04540333"/>
    <w:rsid w:val="048719B2"/>
    <w:rsid w:val="04B51863"/>
    <w:rsid w:val="04B67F25"/>
    <w:rsid w:val="04BF763A"/>
    <w:rsid w:val="04C07235"/>
    <w:rsid w:val="04C93D12"/>
    <w:rsid w:val="04CE00F8"/>
    <w:rsid w:val="05134F18"/>
    <w:rsid w:val="053D0F60"/>
    <w:rsid w:val="05557F9E"/>
    <w:rsid w:val="05654685"/>
    <w:rsid w:val="05E732EC"/>
    <w:rsid w:val="05EC614B"/>
    <w:rsid w:val="05FE0636"/>
    <w:rsid w:val="06342423"/>
    <w:rsid w:val="063C112F"/>
    <w:rsid w:val="064E6EC7"/>
    <w:rsid w:val="066642EF"/>
    <w:rsid w:val="066C1D20"/>
    <w:rsid w:val="066E18CA"/>
    <w:rsid w:val="069B537E"/>
    <w:rsid w:val="069D1BFD"/>
    <w:rsid w:val="06A71660"/>
    <w:rsid w:val="06B156A8"/>
    <w:rsid w:val="06C70A28"/>
    <w:rsid w:val="06C929F2"/>
    <w:rsid w:val="06CB4751"/>
    <w:rsid w:val="06E67100"/>
    <w:rsid w:val="06EE2458"/>
    <w:rsid w:val="07133987"/>
    <w:rsid w:val="073360BD"/>
    <w:rsid w:val="073C35E3"/>
    <w:rsid w:val="074B3407"/>
    <w:rsid w:val="07A1396F"/>
    <w:rsid w:val="07A71DAB"/>
    <w:rsid w:val="07B90CB8"/>
    <w:rsid w:val="07EC510E"/>
    <w:rsid w:val="08000695"/>
    <w:rsid w:val="082A5712"/>
    <w:rsid w:val="083D3697"/>
    <w:rsid w:val="08C55606"/>
    <w:rsid w:val="08CD7283"/>
    <w:rsid w:val="08DB07BA"/>
    <w:rsid w:val="08EB6C4F"/>
    <w:rsid w:val="08F939AD"/>
    <w:rsid w:val="092D5890"/>
    <w:rsid w:val="095C3AB5"/>
    <w:rsid w:val="09C339A8"/>
    <w:rsid w:val="09F06AB0"/>
    <w:rsid w:val="09FA34EB"/>
    <w:rsid w:val="0A182626"/>
    <w:rsid w:val="0A2763AD"/>
    <w:rsid w:val="0A4D56E8"/>
    <w:rsid w:val="0A62467A"/>
    <w:rsid w:val="0A7D4664"/>
    <w:rsid w:val="0AD33307"/>
    <w:rsid w:val="0AEE3BCC"/>
    <w:rsid w:val="0AFB0342"/>
    <w:rsid w:val="0B04049C"/>
    <w:rsid w:val="0B305DED"/>
    <w:rsid w:val="0B3866B7"/>
    <w:rsid w:val="0B3B5F5C"/>
    <w:rsid w:val="0B644CDF"/>
    <w:rsid w:val="0B7F5D75"/>
    <w:rsid w:val="0BB239FD"/>
    <w:rsid w:val="0BD240F7"/>
    <w:rsid w:val="0C120997"/>
    <w:rsid w:val="0C1875C8"/>
    <w:rsid w:val="0C350433"/>
    <w:rsid w:val="0C3D67FB"/>
    <w:rsid w:val="0C4153D2"/>
    <w:rsid w:val="0C4E3A2A"/>
    <w:rsid w:val="0CA07D76"/>
    <w:rsid w:val="0CA247B5"/>
    <w:rsid w:val="0CC51EAD"/>
    <w:rsid w:val="0CEB3524"/>
    <w:rsid w:val="0CFE2CC9"/>
    <w:rsid w:val="0D03679A"/>
    <w:rsid w:val="0D1568BC"/>
    <w:rsid w:val="0D410E67"/>
    <w:rsid w:val="0D533015"/>
    <w:rsid w:val="0D786450"/>
    <w:rsid w:val="0D847672"/>
    <w:rsid w:val="0DAA1323"/>
    <w:rsid w:val="0DB97443"/>
    <w:rsid w:val="0DCB0DFD"/>
    <w:rsid w:val="0DD203DE"/>
    <w:rsid w:val="0DDC125D"/>
    <w:rsid w:val="0DF525DE"/>
    <w:rsid w:val="0DF61CE0"/>
    <w:rsid w:val="0E122ED0"/>
    <w:rsid w:val="0E1E1875"/>
    <w:rsid w:val="0E8E37ED"/>
    <w:rsid w:val="0EAF2E14"/>
    <w:rsid w:val="0EDB59B8"/>
    <w:rsid w:val="0EE33241"/>
    <w:rsid w:val="0EF30E7F"/>
    <w:rsid w:val="0F1B4006"/>
    <w:rsid w:val="0F312AB7"/>
    <w:rsid w:val="0F87169C"/>
    <w:rsid w:val="0FB775B8"/>
    <w:rsid w:val="0FF44D8A"/>
    <w:rsid w:val="103425BC"/>
    <w:rsid w:val="10433815"/>
    <w:rsid w:val="10484987"/>
    <w:rsid w:val="105858FC"/>
    <w:rsid w:val="1069143D"/>
    <w:rsid w:val="108403E2"/>
    <w:rsid w:val="109275A9"/>
    <w:rsid w:val="10945E1E"/>
    <w:rsid w:val="10C15734"/>
    <w:rsid w:val="110D36CE"/>
    <w:rsid w:val="11183B29"/>
    <w:rsid w:val="11533574"/>
    <w:rsid w:val="11785740"/>
    <w:rsid w:val="117874EE"/>
    <w:rsid w:val="11862732"/>
    <w:rsid w:val="118F278E"/>
    <w:rsid w:val="119105B0"/>
    <w:rsid w:val="11994D85"/>
    <w:rsid w:val="11A47985"/>
    <w:rsid w:val="11D80D88"/>
    <w:rsid w:val="11F50B3F"/>
    <w:rsid w:val="11FD79BA"/>
    <w:rsid w:val="12906AB9"/>
    <w:rsid w:val="12B46AE6"/>
    <w:rsid w:val="12C7072D"/>
    <w:rsid w:val="12E7492B"/>
    <w:rsid w:val="12E74FC1"/>
    <w:rsid w:val="12ED4544"/>
    <w:rsid w:val="12F27F6E"/>
    <w:rsid w:val="12F53397"/>
    <w:rsid w:val="131A26A8"/>
    <w:rsid w:val="132A4818"/>
    <w:rsid w:val="13313DF9"/>
    <w:rsid w:val="133D279D"/>
    <w:rsid w:val="13842E04"/>
    <w:rsid w:val="1385172F"/>
    <w:rsid w:val="13A50343"/>
    <w:rsid w:val="13B36C86"/>
    <w:rsid w:val="13C438FA"/>
    <w:rsid w:val="13E34C75"/>
    <w:rsid w:val="14141B79"/>
    <w:rsid w:val="145F6743"/>
    <w:rsid w:val="148650F4"/>
    <w:rsid w:val="14F238F6"/>
    <w:rsid w:val="1505553D"/>
    <w:rsid w:val="150D2643"/>
    <w:rsid w:val="15192D96"/>
    <w:rsid w:val="155663AB"/>
    <w:rsid w:val="15674B8D"/>
    <w:rsid w:val="15DC13FE"/>
    <w:rsid w:val="15F3699E"/>
    <w:rsid w:val="16005D04"/>
    <w:rsid w:val="161F618A"/>
    <w:rsid w:val="16223ECC"/>
    <w:rsid w:val="16351E52"/>
    <w:rsid w:val="16737FC1"/>
    <w:rsid w:val="16C60CFC"/>
    <w:rsid w:val="16DF591A"/>
    <w:rsid w:val="1722468F"/>
    <w:rsid w:val="17233A97"/>
    <w:rsid w:val="172C4685"/>
    <w:rsid w:val="173157BB"/>
    <w:rsid w:val="1767428D"/>
    <w:rsid w:val="176C18A3"/>
    <w:rsid w:val="1776627E"/>
    <w:rsid w:val="17C50FB3"/>
    <w:rsid w:val="18226406"/>
    <w:rsid w:val="182A472E"/>
    <w:rsid w:val="1862610F"/>
    <w:rsid w:val="18710487"/>
    <w:rsid w:val="187C6927"/>
    <w:rsid w:val="18C06D07"/>
    <w:rsid w:val="190B3062"/>
    <w:rsid w:val="192D6E10"/>
    <w:rsid w:val="192E77AB"/>
    <w:rsid w:val="19355CC5"/>
    <w:rsid w:val="19597C05"/>
    <w:rsid w:val="1963464B"/>
    <w:rsid w:val="197764F6"/>
    <w:rsid w:val="1A200723"/>
    <w:rsid w:val="1A2C70C8"/>
    <w:rsid w:val="1A3A6836"/>
    <w:rsid w:val="1A4A3FE0"/>
    <w:rsid w:val="1A5B5BFF"/>
    <w:rsid w:val="1A6040D2"/>
    <w:rsid w:val="1A723272"/>
    <w:rsid w:val="1A770EDB"/>
    <w:rsid w:val="1AE57555"/>
    <w:rsid w:val="1B2B0B2B"/>
    <w:rsid w:val="1B5763C6"/>
    <w:rsid w:val="1BB32838"/>
    <w:rsid w:val="1BC25F36"/>
    <w:rsid w:val="1BCD48DA"/>
    <w:rsid w:val="1C116575"/>
    <w:rsid w:val="1C2A3ADB"/>
    <w:rsid w:val="1C324211"/>
    <w:rsid w:val="1C623275"/>
    <w:rsid w:val="1C7F3E27"/>
    <w:rsid w:val="1C977356"/>
    <w:rsid w:val="1CEA7FA2"/>
    <w:rsid w:val="1CEE68B6"/>
    <w:rsid w:val="1CFE11EF"/>
    <w:rsid w:val="1D1C4C74"/>
    <w:rsid w:val="1D4666F2"/>
    <w:rsid w:val="1DED3012"/>
    <w:rsid w:val="1DFB74DD"/>
    <w:rsid w:val="1E02178A"/>
    <w:rsid w:val="1E3B5065"/>
    <w:rsid w:val="1E3B5B2B"/>
    <w:rsid w:val="1E491296"/>
    <w:rsid w:val="1E504393"/>
    <w:rsid w:val="1E5B1F6F"/>
    <w:rsid w:val="1E5D49E3"/>
    <w:rsid w:val="1E6432D4"/>
    <w:rsid w:val="1E9F430C"/>
    <w:rsid w:val="1EB53B18"/>
    <w:rsid w:val="1EBD4792"/>
    <w:rsid w:val="1EE461C3"/>
    <w:rsid w:val="1F1F71FB"/>
    <w:rsid w:val="1F2962CC"/>
    <w:rsid w:val="1F297E9B"/>
    <w:rsid w:val="1F3C3740"/>
    <w:rsid w:val="1F487665"/>
    <w:rsid w:val="1F4E5D32"/>
    <w:rsid w:val="1F683A66"/>
    <w:rsid w:val="1F793D64"/>
    <w:rsid w:val="1F82221D"/>
    <w:rsid w:val="1FA6791C"/>
    <w:rsid w:val="1FB65DB1"/>
    <w:rsid w:val="1FDA1374"/>
    <w:rsid w:val="20210F16"/>
    <w:rsid w:val="20264FF8"/>
    <w:rsid w:val="206770AC"/>
    <w:rsid w:val="208714FC"/>
    <w:rsid w:val="20B41F4E"/>
    <w:rsid w:val="20B73CE8"/>
    <w:rsid w:val="20CB1F07"/>
    <w:rsid w:val="20E76E0C"/>
    <w:rsid w:val="21244F9D"/>
    <w:rsid w:val="216E1E9C"/>
    <w:rsid w:val="21E309B4"/>
    <w:rsid w:val="21FA58BD"/>
    <w:rsid w:val="222C2B90"/>
    <w:rsid w:val="22457E73"/>
    <w:rsid w:val="2248233E"/>
    <w:rsid w:val="22592440"/>
    <w:rsid w:val="227D2BB6"/>
    <w:rsid w:val="229E3272"/>
    <w:rsid w:val="22A20FA7"/>
    <w:rsid w:val="22B845B4"/>
    <w:rsid w:val="22E70030"/>
    <w:rsid w:val="22EC3898"/>
    <w:rsid w:val="22F866E1"/>
    <w:rsid w:val="23260E04"/>
    <w:rsid w:val="233953DA"/>
    <w:rsid w:val="23481ED7"/>
    <w:rsid w:val="234F2844"/>
    <w:rsid w:val="23515DF1"/>
    <w:rsid w:val="237613B4"/>
    <w:rsid w:val="23790749"/>
    <w:rsid w:val="237B4B25"/>
    <w:rsid w:val="23931F66"/>
    <w:rsid w:val="24782AD4"/>
    <w:rsid w:val="249C3951"/>
    <w:rsid w:val="249F17D3"/>
    <w:rsid w:val="24A10C0D"/>
    <w:rsid w:val="250C7A19"/>
    <w:rsid w:val="251E59E0"/>
    <w:rsid w:val="254479BB"/>
    <w:rsid w:val="254C2D14"/>
    <w:rsid w:val="255D5EBC"/>
    <w:rsid w:val="25622C50"/>
    <w:rsid w:val="256D06AE"/>
    <w:rsid w:val="2582242A"/>
    <w:rsid w:val="259077D0"/>
    <w:rsid w:val="25981BD9"/>
    <w:rsid w:val="25AF7A72"/>
    <w:rsid w:val="25B20381"/>
    <w:rsid w:val="25DB33C1"/>
    <w:rsid w:val="25F25669"/>
    <w:rsid w:val="260357AC"/>
    <w:rsid w:val="26081331"/>
    <w:rsid w:val="260B6FC2"/>
    <w:rsid w:val="264763B7"/>
    <w:rsid w:val="268B2A3A"/>
    <w:rsid w:val="268B3DAD"/>
    <w:rsid w:val="26A61FB0"/>
    <w:rsid w:val="26B13700"/>
    <w:rsid w:val="26E1530D"/>
    <w:rsid w:val="275131CB"/>
    <w:rsid w:val="277025E4"/>
    <w:rsid w:val="27734537"/>
    <w:rsid w:val="279B1E5B"/>
    <w:rsid w:val="282B4E63"/>
    <w:rsid w:val="282B6C11"/>
    <w:rsid w:val="28541BD2"/>
    <w:rsid w:val="28596CF2"/>
    <w:rsid w:val="28884FF7"/>
    <w:rsid w:val="28B60B0F"/>
    <w:rsid w:val="28E16404"/>
    <w:rsid w:val="28F60FCD"/>
    <w:rsid w:val="290F389D"/>
    <w:rsid w:val="291476A5"/>
    <w:rsid w:val="291572CF"/>
    <w:rsid w:val="293033DF"/>
    <w:rsid w:val="293D2CA4"/>
    <w:rsid w:val="293E21D3"/>
    <w:rsid w:val="29567CBD"/>
    <w:rsid w:val="2962542C"/>
    <w:rsid w:val="296F1102"/>
    <w:rsid w:val="298250A2"/>
    <w:rsid w:val="29893309"/>
    <w:rsid w:val="29A9794B"/>
    <w:rsid w:val="2A58372E"/>
    <w:rsid w:val="2A5D6CB9"/>
    <w:rsid w:val="2A7228D5"/>
    <w:rsid w:val="2A87268B"/>
    <w:rsid w:val="2ACA5FAC"/>
    <w:rsid w:val="2AD73080"/>
    <w:rsid w:val="2AF37B03"/>
    <w:rsid w:val="2B160E6F"/>
    <w:rsid w:val="2B351DFD"/>
    <w:rsid w:val="2B367172"/>
    <w:rsid w:val="2B784A6E"/>
    <w:rsid w:val="2B9A7B07"/>
    <w:rsid w:val="2BAE2033"/>
    <w:rsid w:val="2BB37649"/>
    <w:rsid w:val="2BB82A63"/>
    <w:rsid w:val="2BC730F4"/>
    <w:rsid w:val="2BCA4992"/>
    <w:rsid w:val="2BE42462"/>
    <w:rsid w:val="2BF33F8E"/>
    <w:rsid w:val="2BFA2F81"/>
    <w:rsid w:val="2BFD3113"/>
    <w:rsid w:val="2BFD6B16"/>
    <w:rsid w:val="2C0003B4"/>
    <w:rsid w:val="2C15160E"/>
    <w:rsid w:val="2C3A068B"/>
    <w:rsid w:val="2C920E6D"/>
    <w:rsid w:val="2CA156F3"/>
    <w:rsid w:val="2D236108"/>
    <w:rsid w:val="2D906B09"/>
    <w:rsid w:val="2D9C5EBB"/>
    <w:rsid w:val="2DAC0A59"/>
    <w:rsid w:val="2DB65706"/>
    <w:rsid w:val="2DCE076A"/>
    <w:rsid w:val="2E9A689E"/>
    <w:rsid w:val="2ED7388A"/>
    <w:rsid w:val="2EDC2A13"/>
    <w:rsid w:val="2EDD4BB1"/>
    <w:rsid w:val="2EE212D0"/>
    <w:rsid w:val="2F2729AC"/>
    <w:rsid w:val="2F3C0F4C"/>
    <w:rsid w:val="2F5A6566"/>
    <w:rsid w:val="2FAB20EE"/>
    <w:rsid w:val="2FB82F9F"/>
    <w:rsid w:val="2FD61B58"/>
    <w:rsid w:val="2FE5383E"/>
    <w:rsid w:val="306B49F6"/>
    <w:rsid w:val="309B5550"/>
    <w:rsid w:val="30E67B79"/>
    <w:rsid w:val="310B0D65"/>
    <w:rsid w:val="313C778B"/>
    <w:rsid w:val="319C13AD"/>
    <w:rsid w:val="31D9592F"/>
    <w:rsid w:val="32105FF7"/>
    <w:rsid w:val="321A2D0F"/>
    <w:rsid w:val="322E1126"/>
    <w:rsid w:val="324D664C"/>
    <w:rsid w:val="32504AC8"/>
    <w:rsid w:val="32A44004"/>
    <w:rsid w:val="32AD439C"/>
    <w:rsid w:val="32B92CFE"/>
    <w:rsid w:val="32BE6EB2"/>
    <w:rsid w:val="32C616FD"/>
    <w:rsid w:val="32C7154E"/>
    <w:rsid w:val="32D46E8A"/>
    <w:rsid w:val="3311314C"/>
    <w:rsid w:val="3317207A"/>
    <w:rsid w:val="331A6B7B"/>
    <w:rsid w:val="33204F95"/>
    <w:rsid w:val="33396D39"/>
    <w:rsid w:val="333B4001"/>
    <w:rsid w:val="33643EF5"/>
    <w:rsid w:val="33D80BF4"/>
    <w:rsid w:val="33E57C5B"/>
    <w:rsid w:val="34124B0B"/>
    <w:rsid w:val="346F60D7"/>
    <w:rsid w:val="348F605A"/>
    <w:rsid w:val="34A357B5"/>
    <w:rsid w:val="34AA1521"/>
    <w:rsid w:val="34B1049E"/>
    <w:rsid w:val="34C22379"/>
    <w:rsid w:val="34D4478E"/>
    <w:rsid w:val="34EF2E71"/>
    <w:rsid w:val="34F206CA"/>
    <w:rsid w:val="34F51A33"/>
    <w:rsid w:val="35233259"/>
    <w:rsid w:val="357E4769"/>
    <w:rsid w:val="35846234"/>
    <w:rsid w:val="358636D8"/>
    <w:rsid w:val="35B20971"/>
    <w:rsid w:val="35D13952"/>
    <w:rsid w:val="35F03248"/>
    <w:rsid w:val="360B729D"/>
    <w:rsid w:val="361E1B63"/>
    <w:rsid w:val="365D08DD"/>
    <w:rsid w:val="369736C3"/>
    <w:rsid w:val="369F27CF"/>
    <w:rsid w:val="36B60605"/>
    <w:rsid w:val="36C73FA8"/>
    <w:rsid w:val="36CF7301"/>
    <w:rsid w:val="36DB3EF8"/>
    <w:rsid w:val="3701395E"/>
    <w:rsid w:val="3727713D"/>
    <w:rsid w:val="375B08FF"/>
    <w:rsid w:val="376B1FC9"/>
    <w:rsid w:val="37704A11"/>
    <w:rsid w:val="379538CC"/>
    <w:rsid w:val="379D2F5B"/>
    <w:rsid w:val="37C45ACE"/>
    <w:rsid w:val="37CB7AC8"/>
    <w:rsid w:val="37E335F2"/>
    <w:rsid w:val="37E76AA3"/>
    <w:rsid w:val="37F60FE9"/>
    <w:rsid w:val="38125B90"/>
    <w:rsid w:val="3835053A"/>
    <w:rsid w:val="387463B2"/>
    <w:rsid w:val="388C368D"/>
    <w:rsid w:val="38BE1535"/>
    <w:rsid w:val="39322A36"/>
    <w:rsid w:val="395A2DA3"/>
    <w:rsid w:val="395F2CF4"/>
    <w:rsid w:val="397A7B42"/>
    <w:rsid w:val="39B06C1E"/>
    <w:rsid w:val="39B4157B"/>
    <w:rsid w:val="39DF785B"/>
    <w:rsid w:val="3A1A0893"/>
    <w:rsid w:val="3A350793"/>
    <w:rsid w:val="3A5C534F"/>
    <w:rsid w:val="3A5E69D2"/>
    <w:rsid w:val="3A60099C"/>
    <w:rsid w:val="3A751F07"/>
    <w:rsid w:val="3A8B1791"/>
    <w:rsid w:val="3AA16B06"/>
    <w:rsid w:val="3AD969A0"/>
    <w:rsid w:val="3B2C2F74"/>
    <w:rsid w:val="3B351E28"/>
    <w:rsid w:val="3B78218B"/>
    <w:rsid w:val="3B8B205B"/>
    <w:rsid w:val="3BA174BE"/>
    <w:rsid w:val="3BAE1FDB"/>
    <w:rsid w:val="3BAE3989"/>
    <w:rsid w:val="3BC05FBD"/>
    <w:rsid w:val="3BCC3E0F"/>
    <w:rsid w:val="3BD258C9"/>
    <w:rsid w:val="3C123FA5"/>
    <w:rsid w:val="3C242530"/>
    <w:rsid w:val="3C607CD7"/>
    <w:rsid w:val="3C8B7826"/>
    <w:rsid w:val="3C8D17F0"/>
    <w:rsid w:val="3CA078D1"/>
    <w:rsid w:val="3CA1704A"/>
    <w:rsid w:val="3CCA02B2"/>
    <w:rsid w:val="3CE62383"/>
    <w:rsid w:val="3CEC7A2A"/>
    <w:rsid w:val="3D0433A8"/>
    <w:rsid w:val="3D15699B"/>
    <w:rsid w:val="3D6A66B2"/>
    <w:rsid w:val="3D867B10"/>
    <w:rsid w:val="3D8E4FD0"/>
    <w:rsid w:val="3DA07301"/>
    <w:rsid w:val="3DBF44D4"/>
    <w:rsid w:val="3DC207FD"/>
    <w:rsid w:val="3DCE35B6"/>
    <w:rsid w:val="3DD136B5"/>
    <w:rsid w:val="3DF14E3C"/>
    <w:rsid w:val="3DFC6C2D"/>
    <w:rsid w:val="3E043D34"/>
    <w:rsid w:val="3E09759C"/>
    <w:rsid w:val="3E0A3EC6"/>
    <w:rsid w:val="3E0D6740"/>
    <w:rsid w:val="3E1D441D"/>
    <w:rsid w:val="3E2609B2"/>
    <w:rsid w:val="3E7F6463"/>
    <w:rsid w:val="3EA55BD9"/>
    <w:rsid w:val="3EAF459C"/>
    <w:rsid w:val="3EC81EEB"/>
    <w:rsid w:val="3ECB4852"/>
    <w:rsid w:val="3EEB0292"/>
    <w:rsid w:val="3EF142B8"/>
    <w:rsid w:val="3EF313C9"/>
    <w:rsid w:val="3F165F86"/>
    <w:rsid w:val="3F281B00"/>
    <w:rsid w:val="3F3E0C3D"/>
    <w:rsid w:val="3F4D76DD"/>
    <w:rsid w:val="3F930BE9"/>
    <w:rsid w:val="3F952DC8"/>
    <w:rsid w:val="3FE15005"/>
    <w:rsid w:val="3FE77469"/>
    <w:rsid w:val="400E2C48"/>
    <w:rsid w:val="401B4FB0"/>
    <w:rsid w:val="401C11D4"/>
    <w:rsid w:val="40324B88"/>
    <w:rsid w:val="403D2804"/>
    <w:rsid w:val="40515615"/>
    <w:rsid w:val="40B21825"/>
    <w:rsid w:val="40BE641C"/>
    <w:rsid w:val="40C14BE6"/>
    <w:rsid w:val="40E85E9C"/>
    <w:rsid w:val="41173D7E"/>
    <w:rsid w:val="41770B29"/>
    <w:rsid w:val="417778B2"/>
    <w:rsid w:val="42056C09"/>
    <w:rsid w:val="428D039F"/>
    <w:rsid w:val="42D77BC6"/>
    <w:rsid w:val="42FC0E58"/>
    <w:rsid w:val="431379ED"/>
    <w:rsid w:val="4315253F"/>
    <w:rsid w:val="436C6603"/>
    <w:rsid w:val="437454B8"/>
    <w:rsid w:val="43947908"/>
    <w:rsid w:val="43AA0EDA"/>
    <w:rsid w:val="43CC2BFE"/>
    <w:rsid w:val="43D25E53"/>
    <w:rsid w:val="43FE4D82"/>
    <w:rsid w:val="440138A0"/>
    <w:rsid w:val="44246EDE"/>
    <w:rsid w:val="44384737"/>
    <w:rsid w:val="44692B43"/>
    <w:rsid w:val="44740E09"/>
    <w:rsid w:val="447A2ACE"/>
    <w:rsid w:val="44983428"/>
    <w:rsid w:val="44BA2BFB"/>
    <w:rsid w:val="44C47D79"/>
    <w:rsid w:val="450F07D9"/>
    <w:rsid w:val="451A208F"/>
    <w:rsid w:val="453170D2"/>
    <w:rsid w:val="453E5D7D"/>
    <w:rsid w:val="45464C32"/>
    <w:rsid w:val="45AD2F03"/>
    <w:rsid w:val="45BE2A1A"/>
    <w:rsid w:val="45D60635"/>
    <w:rsid w:val="45F17038"/>
    <w:rsid w:val="45FD322A"/>
    <w:rsid w:val="460B7B64"/>
    <w:rsid w:val="4612476D"/>
    <w:rsid w:val="46276812"/>
    <w:rsid w:val="462F50FB"/>
    <w:rsid w:val="46617E0B"/>
    <w:rsid w:val="468F5CB4"/>
    <w:rsid w:val="46953618"/>
    <w:rsid w:val="46C027C2"/>
    <w:rsid w:val="46E22723"/>
    <w:rsid w:val="46E75FA1"/>
    <w:rsid w:val="474820C5"/>
    <w:rsid w:val="475B13E7"/>
    <w:rsid w:val="476B2262"/>
    <w:rsid w:val="477A7EE5"/>
    <w:rsid w:val="477C5396"/>
    <w:rsid w:val="47A73961"/>
    <w:rsid w:val="47DD7AD0"/>
    <w:rsid w:val="47F0715F"/>
    <w:rsid w:val="47F51E94"/>
    <w:rsid w:val="481D611E"/>
    <w:rsid w:val="4851130F"/>
    <w:rsid w:val="485D476D"/>
    <w:rsid w:val="48665BDE"/>
    <w:rsid w:val="48B545A9"/>
    <w:rsid w:val="48B979EC"/>
    <w:rsid w:val="48D34790"/>
    <w:rsid w:val="494D6EBA"/>
    <w:rsid w:val="49557B3A"/>
    <w:rsid w:val="49753CDE"/>
    <w:rsid w:val="49877DA8"/>
    <w:rsid w:val="498C348F"/>
    <w:rsid w:val="499D7E0E"/>
    <w:rsid w:val="49BA4655"/>
    <w:rsid w:val="49CD757C"/>
    <w:rsid w:val="49DA3B9B"/>
    <w:rsid w:val="49EF5898"/>
    <w:rsid w:val="49FA5FEB"/>
    <w:rsid w:val="4A3C6BE3"/>
    <w:rsid w:val="4A62606A"/>
    <w:rsid w:val="4A6F0787"/>
    <w:rsid w:val="4A7638C4"/>
    <w:rsid w:val="4AA46683"/>
    <w:rsid w:val="4AA76173"/>
    <w:rsid w:val="4AAE1013"/>
    <w:rsid w:val="4ADE1878"/>
    <w:rsid w:val="4ADE2E23"/>
    <w:rsid w:val="4AE64EED"/>
    <w:rsid w:val="4AEE327B"/>
    <w:rsid w:val="4B380D6F"/>
    <w:rsid w:val="4B7F745A"/>
    <w:rsid w:val="4BA47B1F"/>
    <w:rsid w:val="4BBC29D4"/>
    <w:rsid w:val="4C37599E"/>
    <w:rsid w:val="4C560DCF"/>
    <w:rsid w:val="4C9F604B"/>
    <w:rsid w:val="4CA73452"/>
    <w:rsid w:val="4CBE77A4"/>
    <w:rsid w:val="4CC32763"/>
    <w:rsid w:val="4D0F1621"/>
    <w:rsid w:val="4D24354A"/>
    <w:rsid w:val="4D4E6D7A"/>
    <w:rsid w:val="4D64659D"/>
    <w:rsid w:val="4D754CD7"/>
    <w:rsid w:val="4D785BA5"/>
    <w:rsid w:val="4DEB45C9"/>
    <w:rsid w:val="4DF97234"/>
    <w:rsid w:val="4E437F61"/>
    <w:rsid w:val="4E4C36AA"/>
    <w:rsid w:val="4E4F6531"/>
    <w:rsid w:val="4EB7021F"/>
    <w:rsid w:val="4F377967"/>
    <w:rsid w:val="4F411EB6"/>
    <w:rsid w:val="4F42646A"/>
    <w:rsid w:val="4F582EF7"/>
    <w:rsid w:val="4F586CE4"/>
    <w:rsid w:val="4F5F63A7"/>
    <w:rsid w:val="4FBA24A4"/>
    <w:rsid w:val="4FDA6E22"/>
    <w:rsid w:val="4FFD0EF1"/>
    <w:rsid w:val="50127E61"/>
    <w:rsid w:val="502F4C40"/>
    <w:rsid w:val="50353716"/>
    <w:rsid w:val="50A218B6"/>
    <w:rsid w:val="50AC44E3"/>
    <w:rsid w:val="510E3C07"/>
    <w:rsid w:val="5135755A"/>
    <w:rsid w:val="514F12D7"/>
    <w:rsid w:val="51754B1B"/>
    <w:rsid w:val="517B73AD"/>
    <w:rsid w:val="518A5306"/>
    <w:rsid w:val="51A37E3C"/>
    <w:rsid w:val="51B66656"/>
    <w:rsid w:val="51D16F4E"/>
    <w:rsid w:val="51D610EC"/>
    <w:rsid w:val="521045FE"/>
    <w:rsid w:val="52534816"/>
    <w:rsid w:val="52634928"/>
    <w:rsid w:val="52C2513C"/>
    <w:rsid w:val="52E2243E"/>
    <w:rsid w:val="52FE057D"/>
    <w:rsid w:val="53277999"/>
    <w:rsid w:val="53353269"/>
    <w:rsid w:val="533B7DA0"/>
    <w:rsid w:val="534C16A9"/>
    <w:rsid w:val="534D66DE"/>
    <w:rsid w:val="536746F1"/>
    <w:rsid w:val="53764934"/>
    <w:rsid w:val="5389269B"/>
    <w:rsid w:val="53A35FB7"/>
    <w:rsid w:val="53B536AF"/>
    <w:rsid w:val="53C80FD0"/>
    <w:rsid w:val="53E30294"/>
    <w:rsid w:val="53EE2F0E"/>
    <w:rsid w:val="54296415"/>
    <w:rsid w:val="544B3A05"/>
    <w:rsid w:val="5472334E"/>
    <w:rsid w:val="549269FE"/>
    <w:rsid w:val="54A86D6F"/>
    <w:rsid w:val="54CA0898"/>
    <w:rsid w:val="550F1330"/>
    <w:rsid w:val="556829A3"/>
    <w:rsid w:val="55782BE6"/>
    <w:rsid w:val="55B415BA"/>
    <w:rsid w:val="55CD4E7B"/>
    <w:rsid w:val="55D46448"/>
    <w:rsid w:val="560E3442"/>
    <w:rsid w:val="56111251"/>
    <w:rsid w:val="56193729"/>
    <w:rsid w:val="56252ADC"/>
    <w:rsid w:val="56327239"/>
    <w:rsid w:val="5642624B"/>
    <w:rsid w:val="56426E9F"/>
    <w:rsid w:val="564725B8"/>
    <w:rsid w:val="56652099"/>
    <w:rsid w:val="56680EAC"/>
    <w:rsid w:val="566D353C"/>
    <w:rsid w:val="569B3338"/>
    <w:rsid w:val="56ED116C"/>
    <w:rsid w:val="56F269C8"/>
    <w:rsid w:val="572F3778"/>
    <w:rsid w:val="576176AA"/>
    <w:rsid w:val="5765355C"/>
    <w:rsid w:val="57690BD0"/>
    <w:rsid w:val="57C71BB1"/>
    <w:rsid w:val="57CA1153"/>
    <w:rsid w:val="582E3F6C"/>
    <w:rsid w:val="58460B49"/>
    <w:rsid w:val="584A495B"/>
    <w:rsid w:val="586675E4"/>
    <w:rsid w:val="58765D26"/>
    <w:rsid w:val="58896EB8"/>
    <w:rsid w:val="58947716"/>
    <w:rsid w:val="58B36AA0"/>
    <w:rsid w:val="58B66C06"/>
    <w:rsid w:val="58C919AA"/>
    <w:rsid w:val="58D345D7"/>
    <w:rsid w:val="59152645"/>
    <w:rsid w:val="59170ABC"/>
    <w:rsid w:val="591F4A55"/>
    <w:rsid w:val="59407EBE"/>
    <w:rsid w:val="59495785"/>
    <w:rsid w:val="5962393D"/>
    <w:rsid w:val="59816B33"/>
    <w:rsid w:val="599C2C1B"/>
    <w:rsid w:val="59AC7302"/>
    <w:rsid w:val="59B44408"/>
    <w:rsid w:val="59BE5287"/>
    <w:rsid w:val="59BF67D8"/>
    <w:rsid w:val="59BF6E54"/>
    <w:rsid w:val="59C96098"/>
    <w:rsid w:val="59CD22DC"/>
    <w:rsid w:val="5A096502"/>
    <w:rsid w:val="5A2F2D66"/>
    <w:rsid w:val="5A6E28DF"/>
    <w:rsid w:val="5A9467BF"/>
    <w:rsid w:val="5AAE69DB"/>
    <w:rsid w:val="5AC261B4"/>
    <w:rsid w:val="5ACA056B"/>
    <w:rsid w:val="5AEC0684"/>
    <w:rsid w:val="5AF0582F"/>
    <w:rsid w:val="5B07360D"/>
    <w:rsid w:val="5B1B6AA6"/>
    <w:rsid w:val="5B224E28"/>
    <w:rsid w:val="5B795B19"/>
    <w:rsid w:val="5B9C02BE"/>
    <w:rsid w:val="5BAF7B56"/>
    <w:rsid w:val="5BF611E3"/>
    <w:rsid w:val="5C0E6052"/>
    <w:rsid w:val="5C313AEE"/>
    <w:rsid w:val="5C5E677E"/>
    <w:rsid w:val="5C6D55E1"/>
    <w:rsid w:val="5C7D4F86"/>
    <w:rsid w:val="5C86208C"/>
    <w:rsid w:val="5CA31D3A"/>
    <w:rsid w:val="5CAC7619"/>
    <w:rsid w:val="5D072AA1"/>
    <w:rsid w:val="5D211242"/>
    <w:rsid w:val="5D2B49E2"/>
    <w:rsid w:val="5D66326A"/>
    <w:rsid w:val="5D730EDB"/>
    <w:rsid w:val="5D7C18C6"/>
    <w:rsid w:val="5D902A97"/>
    <w:rsid w:val="5D916BB6"/>
    <w:rsid w:val="5DB1138B"/>
    <w:rsid w:val="5DC32E6C"/>
    <w:rsid w:val="5DC65EB1"/>
    <w:rsid w:val="5DE3467B"/>
    <w:rsid w:val="5E000678"/>
    <w:rsid w:val="5E634018"/>
    <w:rsid w:val="5EB639EA"/>
    <w:rsid w:val="5ECB5E31"/>
    <w:rsid w:val="5F0537AA"/>
    <w:rsid w:val="5F1267B5"/>
    <w:rsid w:val="5F2B3E04"/>
    <w:rsid w:val="5F371AC5"/>
    <w:rsid w:val="5F4A1A8C"/>
    <w:rsid w:val="5F760F40"/>
    <w:rsid w:val="5FD9212E"/>
    <w:rsid w:val="5FFF5CB2"/>
    <w:rsid w:val="600532C8"/>
    <w:rsid w:val="60213B2C"/>
    <w:rsid w:val="60303C5D"/>
    <w:rsid w:val="60673F83"/>
    <w:rsid w:val="606E1F64"/>
    <w:rsid w:val="607F0240"/>
    <w:rsid w:val="60AD1128"/>
    <w:rsid w:val="60AD570E"/>
    <w:rsid w:val="60CE0B25"/>
    <w:rsid w:val="610E5FB8"/>
    <w:rsid w:val="61113EEE"/>
    <w:rsid w:val="61555832"/>
    <w:rsid w:val="6194560C"/>
    <w:rsid w:val="619C4100"/>
    <w:rsid w:val="61A30FEA"/>
    <w:rsid w:val="61BE5E24"/>
    <w:rsid w:val="61D300DB"/>
    <w:rsid w:val="61D5316E"/>
    <w:rsid w:val="61DB6D9C"/>
    <w:rsid w:val="623C3CCB"/>
    <w:rsid w:val="6277131B"/>
    <w:rsid w:val="62894736"/>
    <w:rsid w:val="62A274F4"/>
    <w:rsid w:val="62A72D5C"/>
    <w:rsid w:val="62DC02C2"/>
    <w:rsid w:val="62E679C4"/>
    <w:rsid w:val="632E6FDA"/>
    <w:rsid w:val="6345292E"/>
    <w:rsid w:val="635D5082"/>
    <w:rsid w:val="63964B41"/>
    <w:rsid w:val="63CD05A1"/>
    <w:rsid w:val="6410048D"/>
    <w:rsid w:val="64421F3D"/>
    <w:rsid w:val="64487C27"/>
    <w:rsid w:val="645761E8"/>
    <w:rsid w:val="64774278"/>
    <w:rsid w:val="647C3D75"/>
    <w:rsid w:val="648570CD"/>
    <w:rsid w:val="649B41FB"/>
    <w:rsid w:val="64AD03D2"/>
    <w:rsid w:val="64B66E59"/>
    <w:rsid w:val="64BE2080"/>
    <w:rsid w:val="64CC5E52"/>
    <w:rsid w:val="650F4B9B"/>
    <w:rsid w:val="654E657D"/>
    <w:rsid w:val="656B2244"/>
    <w:rsid w:val="65864EAB"/>
    <w:rsid w:val="65AC2438"/>
    <w:rsid w:val="65B768E4"/>
    <w:rsid w:val="65BF216B"/>
    <w:rsid w:val="65C57872"/>
    <w:rsid w:val="65DA0D53"/>
    <w:rsid w:val="65EF0F14"/>
    <w:rsid w:val="66042274"/>
    <w:rsid w:val="66043DF1"/>
    <w:rsid w:val="6614083B"/>
    <w:rsid w:val="661D46CA"/>
    <w:rsid w:val="667B0788"/>
    <w:rsid w:val="66887A48"/>
    <w:rsid w:val="669F48C5"/>
    <w:rsid w:val="66B94E0C"/>
    <w:rsid w:val="66BB1AFB"/>
    <w:rsid w:val="66C8643E"/>
    <w:rsid w:val="66CA0DC7"/>
    <w:rsid w:val="66F0707E"/>
    <w:rsid w:val="66F20D2E"/>
    <w:rsid w:val="66F3252F"/>
    <w:rsid w:val="66F95B50"/>
    <w:rsid w:val="6703077D"/>
    <w:rsid w:val="673D6A15"/>
    <w:rsid w:val="67911835"/>
    <w:rsid w:val="67960780"/>
    <w:rsid w:val="67BB2DBB"/>
    <w:rsid w:val="682E5386"/>
    <w:rsid w:val="683F57E5"/>
    <w:rsid w:val="68415A7C"/>
    <w:rsid w:val="688D47A2"/>
    <w:rsid w:val="68C11D22"/>
    <w:rsid w:val="68CD623B"/>
    <w:rsid w:val="68FD36D6"/>
    <w:rsid w:val="694D7A8E"/>
    <w:rsid w:val="69562DE6"/>
    <w:rsid w:val="696012B6"/>
    <w:rsid w:val="69642093"/>
    <w:rsid w:val="697434C5"/>
    <w:rsid w:val="6985191D"/>
    <w:rsid w:val="69BD2E65"/>
    <w:rsid w:val="69CA6B08"/>
    <w:rsid w:val="69E95A08"/>
    <w:rsid w:val="6A042666"/>
    <w:rsid w:val="6A203A39"/>
    <w:rsid w:val="6A9736F0"/>
    <w:rsid w:val="6AB26742"/>
    <w:rsid w:val="6AF97ECD"/>
    <w:rsid w:val="6B301EAD"/>
    <w:rsid w:val="6B680BAF"/>
    <w:rsid w:val="6B6C68F1"/>
    <w:rsid w:val="6B7A5BC1"/>
    <w:rsid w:val="6BA17D14"/>
    <w:rsid w:val="6BCC55E2"/>
    <w:rsid w:val="6BE41292"/>
    <w:rsid w:val="6BF43D6E"/>
    <w:rsid w:val="6C3A781B"/>
    <w:rsid w:val="6C884442"/>
    <w:rsid w:val="6CF25FA0"/>
    <w:rsid w:val="6CF3094C"/>
    <w:rsid w:val="6CF3436B"/>
    <w:rsid w:val="6D257FA0"/>
    <w:rsid w:val="6D5B6316"/>
    <w:rsid w:val="6D77157D"/>
    <w:rsid w:val="6D9143ED"/>
    <w:rsid w:val="6DC40A12"/>
    <w:rsid w:val="6DC74A88"/>
    <w:rsid w:val="6DDD7C5D"/>
    <w:rsid w:val="6DEA2117"/>
    <w:rsid w:val="6E113780"/>
    <w:rsid w:val="6E2178BF"/>
    <w:rsid w:val="6E6C4C84"/>
    <w:rsid w:val="6E8C1058"/>
    <w:rsid w:val="6EBF142E"/>
    <w:rsid w:val="6F0357BE"/>
    <w:rsid w:val="6F0F5F11"/>
    <w:rsid w:val="6F120DB6"/>
    <w:rsid w:val="6F2946DA"/>
    <w:rsid w:val="6F550DE0"/>
    <w:rsid w:val="6F65569D"/>
    <w:rsid w:val="6F694185"/>
    <w:rsid w:val="6FD1766A"/>
    <w:rsid w:val="70294E19"/>
    <w:rsid w:val="707443AD"/>
    <w:rsid w:val="70990122"/>
    <w:rsid w:val="70AB48DD"/>
    <w:rsid w:val="70C60851"/>
    <w:rsid w:val="70D00980"/>
    <w:rsid w:val="70E51DA8"/>
    <w:rsid w:val="70E660DA"/>
    <w:rsid w:val="71213150"/>
    <w:rsid w:val="712D267F"/>
    <w:rsid w:val="712F47EA"/>
    <w:rsid w:val="713C6679"/>
    <w:rsid w:val="714802B0"/>
    <w:rsid w:val="71812600"/>
    <w:rsid w:val="71946BA2"/>
    <w:rsid w:val="719C15B2"/>
    <w:rsid w:val="71A843FB"/>
    <w:rsid w:val="71D82792"/>
    <w:rsid w:val="71F32978"/>
    <w:rsid w:val="71F94EA8"/>
    <w:rsid w:val="721E450C"/>
    <w:rsid w:val="72514A93"/>
    <w:rsid w:val="7262278F"/>
    <w:rsid w:val="72A745C8"/>
    <w:rsid w:val="730C2768"/>
    <w:rsid w:val="7329331A"/>
    <w:rsid w:val="732A300A"/>
    <w:rsid w:val="73742537"/>
    <w:rsid w:val="73A429A0"/>
    <w:rsid w:val="73B22884"/>
    <w:rsid w:val="73BE1CB4"/>
    <w:rsid w:val="73C848E1"/>
    <w:rsid w:val="73CC7691"/>
    <w:rsid w:val="73D85A6B"/>
    <w:rsid w:val="745C4A31"/>
    <w:rsid w:val="74AE1D28"/>
    <w:rsid w:val="74B94A0D"/>
    <w:rsid w:val="74C2331D"/>
    <w:rsid w:val="74CF1255"/>
    <w:rsid w:val="74E7523A"/>
    <w:rsid w:val="74FB54A4"/>
    <w:rsid w:val="751610E2"/>
    <w:rsid w:val="751A7B05"/>
    <w:rsid w:val="751C63E4"/>
    <w:rsid w:val="7549404F"/>
    <w:rsid w:val="75611CC1"/>
    <w:rsid w:val="759233F8"/>
    <w:rsid w:val="75C86E1A"/>
    <w:rsid w:val="75D25EEA"/>
    <w:rsid w:val="75DD731F"/>
    <w:rsid w:val="75EA4FE2"/>
    <w:rsid w:val="75FE283B"/>
    <w:rsid w:val="764B039C"/>
    <w:rsid w:val="764C5C54"/>
    <w:rsid w:val="766641C7"/>
    <w:rsid w:val="766656C3"/>
    <w:rsid w:val="76740D50"/>
    <w:rsid w:val="768014A2"/>
    <w:rsid w:val="768D4B1F"/>
    <w:rsid w:val="76B352F7"/>
    <w:rsid w:val="76B7148E"/>
    <w:rsid w:val="76C22210"/>
    <w:rsid w:val="76CA7E5A"/>
    <w:rsid w:val="76ED3071"/>
    <w:rsid w:val="77120FDD"/>
    <w:rsid w:val="77224D6E"/>
    <w:rsid w:val="77490EAB"/>
    <w:rsid w:val="775C2950"/>
    <w:rsid w:val="77610F13"/>
    <w:rsid w:val="776B3787"/>
    <w:rsid w:val="776C1A27"/>
    <w:rsid w:val="778C37F8"/>
    <w:rsid w:val="77903967"/>
    <w:rsid w:val="779D7E32"/>
    <w:rsid w:val="77B12E34"/>
    <w:rsid w:val="77B32EDF"/>
    <w:rsid w:val="77BF5FFA"/>
    <w:rsid w:val="77CA451A"/>
    <w:rsid w:val="77D46CD2"/>
    <w:rsid w:val="77D83D50"/>
    <w:rsid w:val="77F50340"/>
    <w:rsid w:val="78056103"/>
    <w:rsid w:val="780F6F82"/>
    <w:rsid w:val="781D0CC1"/>
    <w:rsid w:val="7823193A"/>
    <w:rsid w:val="782E61C7"/>
    <w:rsid w:val="7836235A"/>
    <w:rsid w:val="783B33E4"/>
    <w:rsid w:val="78482494"/>
    <w:rsid w:val="78534B66"/>
    <w:rsid w:val="787B0197"/>
    <w:rsid w:val="787E1A12"/>
    <w:rsid w:val="78A00DCC"/>
    <w:rsid w:val="78BE10F6"/>
    <w:rsid w:val="78BF6934"/>
    <w:rsid w:val="78C25DA2"/>
    <w:rsid w:val="78D43D28"/>
    <w:rsid w:val="78EE56C6"/>
    <w:rsid w:val="78FD502C"/>
    <w:rsid w:val="790E1B15"/>
    <w:rsid w:val="792275BE"/>
    <w:rsid w:val="794672BF"/>
    <w:rsid w:val="79532E9E"/>
    <w:rsid w:val="79585130"/>
    <w:rsid w:val="79797086"/>
    <w:rsid w:val="797A5F8B"/>
    <w:rsid w:val="79A47B9E"/>
    <w:rsid w:val="7A3C1D44"/>
    <w:rsid w:val="7A8B158A"/>
    <w:rsid w:val="7AB102CB"/>
    <w:rsid w:val="7ADD5362"/>
    <w:rsid w:val="7B1A0118"/>
    <w:rsid w:val="7B4E7DC1"/>
    <w:rsid w:val="7B62386D"/>
    <w:rsid w:val="7B6E2211"/>
    <w:rsid w:val="7BA378A6"/>
    <w:rsid w:val="7BD217F3"/>
    <w:rsid w:val="7C277454"/>
    <w:rsid w:val="7C594C70"/>
    <w:rsid w:val="7C61682F"/>
    <w:rsid w:val="7C7C270C"/>
    <w:rsid w:val="7C85264B"/>
    <w:rsid w:val="7CB63E70"/>
    <w:rsid w:val="7CC266CE"/>
    <w:rsid w:val="7CC76395"/>
    <w:rsid w:val="7CD73DE6"/>
    <w:rsid w:val="7CE64029"/>
    <w:rsid w:val="7D00333D"/>
    <w:rsid w:val="7D23702C"/>
    <w:rsid w:val="7D7A30EF"/>
    <w:rsid w:val="7D821FA4"/>
    <w:rsid w:val="7D906276"/>
    <w:rsid w:val="7D9D293A"/>
    <w:rsid w:val="7DAB151E"/>
    <w:rsid w:val="7DB41364"/>
    <w:rsid w:val="7DE44A0D"/>
    <w:rsid w:val="7DF24EA8"/>
    <w:rsid w:val="7E1E7F1F"/>
    <w:rsid w:val="7E2F667A"/>
    <w:rsid w:val="7E321E60"/>
    <w:rsid w:val="7E493D4F"/>
    <w:rsid w:val="7E5356EF"/>
    <w:rsid w:val="7E916B3D"/>
    <w:rsid w:val="7E9B65C0"/>
    <w:rsid w:val="7EA95725"/>
    <w:rsid w:val="7F1205F3"/>
    <w:rsid w:val="7F69341C"/>
    <w:rsid w:val="7F6B3277"/>
    <w:rsid w:val="7F7C3A97"/>
    <w:rsid w:val="7F89761A"/>
    <w:rsid w:val="7F8F2756"/>
    <w:rsid w:val="7FFA6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autoRedefine/>
    <w:qFormat/>
    <w:uiPriority w:val="0"/>
    <w:pPr>
      <w:autoSpaceDE w:val="0"/>
      <w:autoSpaceDN w:val="0"/>
      <w:adjustRightInd w:val="0"/>
      <w:jc w:val="left"/>
      <w:outlineLvl w:val="0"/>
    </w:pPr>
    <w:rPr>
      <w:kern w:val="0"/>
      <w:sz w:val="30"/>
    </w:rPr>
  </w:style>
  <w:style w:type="paragraph" w:styleId="3">
    <w:name w:val="heading 2"/>
    <w:basedOn w:val="1"/>
    <w:next w:val="1"/>
    <w:autoRedefine/>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4"/>
    <w:basedOn w:val="1"/>
    <w:next w:val="1"/>
    <w:autoRedefine/>
    <w:qFormat/>
    <w:uiPriority w:val="0"/>
    <w:pPr>
      <w:keepNext/>
      <w:keepLines/>
      <w:spacing w:line="374" w:lineRule="auto"/>
      <w:outlineLvl w:val="3"/>
    </w:pPr>
    <w:rPr>
      <w:rFonts w:ascii="Arial" w:hAnsi="Arial"/>
    </w:rPr>
  </w:style>
  <w:style w:type="character" w:default="1" w:styleId="18">
    <w:name w:val="Default Paragraph Font"/>
    <w:autoRedefine/>
    <w:semiHidden/>
    <w:qFormat/>
    <w:uiPriority w:val="0"/>
  </w:style>
  <w:style w:type="table" w:default="1" w:styleId="16">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autoRedefine/>
    <w:qFormat/>
    <w:uiPriority w:val="0"/>
    <w:pPr>
      <w:adjustRightInd w:val="0"/>
      <w:spacing w:line="360" w:lineRule="atLeast"/>
      <w:jc w:val="left"/>
      <w:textAlignment w:val="baseline"/>
    </w:pPr>
    <w:rPr>
      <w:kern w:val="0"/>
    </w:rPr>
  </w:style>
  <w:style w:type="paragraph" w:styleId="6">
    <w:name w:val="Body Text"/>
    <w:basedOn w:val="1"/>
    <w:next w:val="7"/>
    <w:autoRedefine/>
    <w:semiHidden/>
    <w:qFormat/>
    <w:uiPriority w:val="0"/>
    <w:rPr>
      <w:rFonts w:ascii="Arial" w:hAnsi="Arial" w:eastAsia="Arial" w:cs="Arial"/>
      <w:sz w:val="21"/>
      <w:szCs w:val="21"/>
      <w:lang w:val="en-US" w:eastAsia="en-US" w:bidi="ar-SA"/>
    </w:rPr>
  </w:style>
  <w:style w:type="paragraph" w:styleId="7">
    <w:name w:val="Title"/>
    <w:basedOn w:val="1"/>
    <w:next w:val="1"/>
    <w:qFormat/>
    <w:uiPriority w:val="0"/>
    <w:pPr>
      <w:spacing w:line="480" w:lineRule="atLeast"/>
      <w:jc w:val="center"/>
    </w:pPr>
    <w:rPr>
      <w:rFonts w:ascii="Times New Roman" w:hAnsi="Times New Roman" w:eastAsia="宋体" w:cs="Times New Roman"/>
      <w:sz w:val="32"/>
    </w:rPr>
  </w:style>
  <w:style w:type="paragraph" w:styleId="8">
    <w:name w:val="toc 3"/>
    <w:basedOn w:val="1"/>
    <w:next w:val="1"/>
    <w:autoRedefine/>
    <w:qFormat/>
    <w:uiPriority w:val="0"/>
    <w:pPr>
      <w:ind w:left="840" w:leftChars="400"/>
    </w:pPr>
  </w:style>
  <w:style w:type="paragraph" w:styleId="9">
    <w:name w:val="Plain Text"/>
    <w:basedOn w:val="1"/>
    <w:autoRedefine/>
    <w:qFormat/>
    <w:uiPriority w:val="0"/>
    <w:rPr>
      <w:rFonts w:ascii="宋体" w:hAnsi="Courier New"/>
      <w:szCs w:val="20"/>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toc 1"/>
    <w:basedOn w:val="1"/>
    <w:next w:val="1"/>
    <w:autoRedefine/>
    <w:qFormat/>
    <w:uiPriority w:val="0"/>
  </w:style>
  <w:style w:type="paragraph" w:styleId="12">
    <w:name w:val="toc 2"/>
    <w:basedOn w:val="1"/>
    <w:next w:val="1"/>
    <w:autoRedefine/>
    <w:qFormat/>
    <w:uiPriority w:val="0"/>
    <w:pPr>
      <w:ind w:left="420" w:leftChars="200"/>
    </w:pPr>
  </w:style>
  <w:style w:type="paragraph" w:styleId="13">
    <w:name w:val="Body Text 2"/>
    <w:basedOn w:val="1"/>
    <w:next w:val="6"/>
    <w:autoRedefine/>
    <w:qFormat/>
    <w:uiPriority w:val="0"/>
    <w:pPr>
      <w:spacing w:line="500" w:lineRule="exact"/>
    </w:pPr>
    <w:rPr>
      <w:rFonts w:ascii="宋体"/>
      <w:sz w:val="24"/>
    </w:rPr>
  </w:style>
  <w:style w:type="paragraph" w:styleId="14">
    <w:name w:val="Normal (Web)"/>
    <w:basedOn w:val="1"/>
    <w:autoRedefine/>
    <w:qFormat/>
    <w:uiPriority w:val="0"/>
    <w:pPr>
      <w:spacing w:beforeAutospacing="1" w:afterAutospacing="1"/>
      <w:jc w:val="left"/>
    </w:pPr>
    <w:rPr>
      <w:rFonts w:cs="Times New Roman"/>
      <w:kern w:val="0"/>
      <w:sz w:val="24"/>
    </w:rPr>
  </w:style>
  <w:style w:type="paragraph" w:styleId="15">
    <w:name w:val="Body Text First Indent"/>
    <w:basedOn w:val="6"/>
    <w:autoRedefine/>
    <w:qFormat/>
    <w:uiPriority w:val="99"/>
    <w:pPr>
      <w:spacing w:line="240" w:lineRule="auto"/>
      <w:ind w:firstLine="420" w:firstLineChars="100"/>
    </w:pPr>
    <w:rPr>
      <w:rFonts w:ascii="Times New Roman" w:cs="Times New Roman"/>
      <w:sz w:val="20"/>
      <w:szCs w:val="20"/>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0"/>
    <w:rPr>
      <w:b/>
    </w:rPr>
  </w:style>
  <w:style w:type="character" w:styleId="20">
    <w:name w:val="FollowedHyperlink"/>
    <w:basedOn w:val="18"/>
    <w:autoRedefine/>
    <w:qFormat/>
    <w:uiPriority w:val="0"/>
    <w:rPr>
      <w:color w:val="333333"/>
      <w:u w:val="none"/>
    </w:rPr>
  </w:style>
  <w:style w:type="character" w:styleId="21">
    <w:name w:val="Emphasis"/>
    <w:basedOn w:val="18"/>
    <w:autoRedefine/>
    <w:qFormat/>
    <w:uiPriority w:val="0"/>
    <w:rPr>
      <w:i/>
    </w:rPr>
  </w:style>
  <w:style w:type="character" w:styleId="22">
    <w:name w:val="HTML Variable"/>
    <w:basedOn w:val="18"/>
    <w:autoRedefine/>
    <w:qFormat/>
    <w:uiPriority w:val="0"/>
    <w:rPr>
      <w:i/>
    </w:rPr>
  </w:style>
  <w:style w:type="character" w:styleId="23">
    <w:name w:val="Hyperlink"/>
    <w:basedOn w:val="18"/>
    <w:autoRedefine/>
    <w:qFormat/>
    <w:uiPriority w:val="0"/>
    <w:rPr>
      <w:color w:val="333333"/>
      <w:u w:val="none"/>
    </w:rPr>
  </w:style>
  <w:style w:type="character" w:styleId="24">
    <w:name w:val="HTML Code"/>
    <w:basedOn w:val="18"/>
    <w:autoRedefine/>
    <w:qFormat/>
    <w:uiPriority w:val="0"/>
    <w:rPr>
      <w:rFonts w:ascii="Courier New" w:hAnsi="Courier New"/>
      <w:sz w:val="20"/>
    </w:rPr>
  </w:style>
  <w:style w:type="character" w:styleId="25">
    <w:name w:val="HTML Cite"/>
    <w:basedOn w:val="18"/>
    <w:autoRedefine/>
    <w:qFormat/>
    <w:uiPriority w:val="0"/>
    <w:rPr>
      <w:i/>
    </w:rPr>
  </w:style>
  <w:style w:type="paragraph" w:customStyle="1" w:styleId="26">
    <w:name w:val="样式 宋体 行距: 1.5 倍行距"/>
    <w:next w:val="1"/>
    <w:autoRedefine/>
    <w:qFormat/>
    <w:uiPriority w:val="99"/>
    <w:pPr>
      <w:widowControl w:val="0"/>
      <w:jc w:val="center"/>
    </w:pPr>
    <w:rPr>
      <w:rFonts w:ascii="Times New Roman" w:hAnsi="Calibri" w:eastAsia="宋体" w:cs="Times New Roman"/>
      <w:b/>
      <w:bCs/>
      <w:kern w:val="2"/>
      <w:sz w:val="21"/>
      <w:szCs w:val="24"/>
      <w:lang w:val="en-US" w:eastAsia="zh-CN" w:bidi="ar-SA"/>
    </w:rPr>
  </w:style>
  <w:style w:type="paragraph" w:customStyle="1" w:styleId="27">
    <w:name w:val="UserStyle_43"/>
    <w:autoRedefine/>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8">
    <w:name w:val="NormalCharacter"/>
    <w:autoRedefine/>
    <w:qFormat/>
    <w:uiPriority w:val="99"/>
  </w:style>
  <w:style w:type="paragraph" w:customStyle="1" w:styleId="29">
    <w:name w:val="Table Text"/>
    <w:basedOn w:val="1"/>
    <w:autoRedefine/>
    <w:semiHidden/>
    <w:qFormat/>
    <w:uiPriority w:val="0"/>
    <w:rPr>
      <w:rFonts w:ascii="Arial" w:hAnsi="Arial" w:eastAsia="Arial" w:cs="Arial"/>
      <w:sz w:val="21"/>
      <w:szCs w:val="21"/>
      <w:lang w:val="en-US" w:eastAsia="en-US" w:bidi="ar-SA"/>
    </w:rPr>
  </w:style>
  <w:style w:type="paragraph" w:customStyle="1" w:styleId="30">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正文缩进1"/>
    <w:basedOn w:val="1"/>
    <w:autoRedefine/>
    <w:qFormat/>
    <w:uiPriority w:val="0"/>
    <w:pPr>
      <w:widowControl/>
      <w:ind w:firstLine="420"/>
      <w:jc w:val="left"/>
    </w:pPr>
    <w:rPr>
      <w:kern w:val="0"/>
    </w:rPr>
  </w:style>
  <w:style w:type="paragraph" w:customStyle="1" w:styleId="32">
    <w:name w:val="UserStyle_19"/>
    <w:autoRedefine/>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Heading2"/>
    <w:basedOn w:val="1"/>
    <w:next w:val="1"/>
    <w:autoRedefine/>
    <w:qFormat/>
    <w:uiPriority w:val="99"/>
    <w:pPr>
      <w:jc w:val="left"/>
    </w:pPr>
    <w:rPr>
      <w:kern w:val="0"/>
    </w:rPr>
  </w:style>
  <w:style w:type="paragraph" w:customStyle="1" w:styleId="38">
    <w:name w:val="AnnotationText"/>
    <w:basedOn w:val="1"/>
    <w:autoRedefine/>
    <w:qFormat/>
    <w:uiPriority w:val="99"/>
    <w:pPr>
      <w:spacing w:line="360" w:lineRule="atLeast"/>
      <w:jc w:val="left"/>
    </w:pPr>
    <w:rPr>
      <w:kern w:val="0"/>
    </w:rPr>
  </w:style>
  <w:style w:type="paragraph" w:customStyle="1" w:styleId="39">
    <w:name w:val="UserStyle_44"/>
    <w:basedOn w:val="40"/>
    <w:autoRedefine/>
    <w:qFormat/>
    <w:uiPriority w:val="99"/>
    <w:rPr>
      <w:sz w:val="24"/>
      <w:szCs w:val="24"/>
    </w:rPr>
  </w:style>
  <w:style w:type="paragraph" w:customStyle="1" w:styleId="40">
    <w:name w:val="UserStyle_33"/>
    <w:autoRedefine/>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1">
    <w:name w:val="UserStyle_45"/>
    <w:autoRedefine/>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2">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3">
    <w:name w:val="文一"/>
    <w:basedOn w:val="1"/>
    <w:autoRedefine/>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4">
    <w:name w:val="BodyText"/>
    <w:basedOn w:val="1"/>
    <w:next w:val="45"/>
    <w:autoRedefine/>
    <w:qFormat/>
    <w:uiPriority w:val="99"/>
    <w:pPr>
      <w:spacing w:after="120"/>
    </w:pPr>
  </w:style>
  <w:style w:type="paragraph" w:customStyle="1" w:styleId="45">
    <w:name w:val="BodyText2"/>
    <w:basedOn w:val="1"/>
    <w:autoRedefine/>
    <w:qFormat/>
    <w:uiPriority w:val="99"/>
    <w:pPr>
      <w:spacing w:line="500" w:lineRule="exact"/>
    </w:pPr>
  </w:style>
  <w:style w:type="paragraph" w:customStyle="1" w:styleId="46">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7">
    <w:name w:val="正文缩进 New"/>
    <w:basedOn w:val="48"/>
    <w:autoRedefine/>
    <w:qFormat/>
    <w:uiPriority w:val="0"/>
    <w:pPr>
      <w:widowControl/>
      <w:ind w:firstLine="420"/>
      <w:jc w:val="left"/>
    </w:pPr>
    <w:rPr>
      <w:kern w:val="0"/>
      <w:sz w:val="20"/>
    </w:rPr>
  </w:style>
  <w:style w:type="paragraph" w:customStyle="1" w:styleId="48">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49">
    <w:name w:val="正文文本 (2) + 间距 0 pt3"/>
    <w:basedOn w:val="18"/>
    <w:autoRedefine/>
    <w:qFormat/>
    <w:uiPriority w:val="0"/>
    <w:rPr>
      <w:rFonts w:ascii="MingLiU" w:hAnsi="Times New Roman" w:eastAsia="MingLiU" w:cs="MingLiU"/>
      <w:spacing w:val="0"/>
      <w:sz w:val="22"/>
      <w:szCs w:val="22"/>
      <w:u w:val="none"/>
    </w:rPr>
  </w:style>
  <w:style w:type="character" w:customStyle="1" w:styleId="50">
    <w:name w:val="hover21"/>
    <w:basedOn w:val="18"/>
    <w:autoRedefine/>
    <w:qFormat/>
    <w:uiPriority w:val="0"/>
    <w:rPr>
      <w:color w:val="5FB878"/>
    </w:rPr>
  </w:style>
  <w:style w:type="character" w:customStyle="1" w:styleId="51">
    <w:name w:val="hover22"/>
    <w:basedOn w:val="18"/>
    <w:autoRedefine/>
    <w:qFormat/>
    <w:uiPriority w:val="0"/>
    <w:rPr>
      <w:color w:val="FFFFFF"/>
    </w:rPr>
  </w:style>
  <w:style w:type="character" w:customStyle="1" w:styleId="52">
    <w:name w:val="hover23"/>
    <w:basedOn w:val="18"/>
    <w:autoRedefine/>
    <w:qFormat/>
    <w:uiPriority w:val="0"/>
    <w:rPr>
      <w:color w:val="5FB878"/>
    </w:rPr>
  </w:style>
  <w:style w:type="paragraph" w:customStyle="1" w:styleId="5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6"/>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54">
    <w:name w:val="Default"/>
    <w:autoRedefine/>
    <w:qFormat/>
    <w:uiPriority w:val="0"/>
    <w:pPr>
      <w:widowControl w:val="0"/>
      <w:autoSpaceDE w:val="0"/>
      <w:autoSpaceDN w:val="0"/>
      <w:adjustRightInd w:val="0"/>
    </w:pPr>
    <w:rPr>
      <w:rFonts w:hint="eastAsia" w:ascii="仿宋" w:hAnsi="仿宋" w:eastAsia="仿宋" w:cs="Times New Roman"/>
      <w:color w:val="000000"/>
      <w:sz w:val="24"/>
      <w:lang w:val="en-US" w:eastAsia="zh-CN" w:bidi="ar-SA"/>
    </w:rPr>
  </w:style>
  <w:style w:type="table" w:customStyle="1" w:styleId="55">
    <w:name w:val="Table Normal"/>
    <w:autoRedefine/>
    <w:semiHidden/>
    <w:unhideWhenUsed/>
    <w:qFormat/>
    <w:uiPriority w:val="0"/>
    <w:rPr>
      <w:rFonts w:ascii="Arial" w:hAnsi="Arial" w:cs="Arial"/>
    </w:rPr>
    <w:tblPr>
      <w:tblCellMar>
        <w:top w:w="0" w:type="dxa"/>
        <w:left w:w="0" w:type="dxa"/>
        <w:bottom w:w="0" w:type="dxa"/>
        <w:right w:w="0" w:type="dxa"/>
      </w:tblCellMar>
    </w:tblPr>
  </w:style>
  <w:style w:type="paragraph" w:customStyle="1" w:styleId="56">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7">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18.png"/><Relationship Id="rId53" Type="http://schemas.openxmlformats.org/officeDocument/2006/relationships/image" Target="media/image17.jpeg"/><Relationship Id="rId52" Type="http://schemas.openxmlformats.org/officeDocument/2006/relationships/image" Target="media/image16.png"/><Relationship Id="rId51" Type="http://schemas.openxmlformats.org/officeDocument/2006/relationships/image" Target="media/image15.png"/><Relationship Id="rId50" Type="http://schemas.openxmlformats.org/officeDocument/2006/relationships/image" Target="media/image14.wmf"/><Relationship Id="rId5" Type="http://schemas.openxmlformats.org/officeDocument/2006/relationships/header" Target="header2.xml"/><Relationship Id="rId49" Type="http://schemas.openxmlformats.org/officeDocument/2006/relationships/oleObject" Target="embeddings/oleObject12.bin"/><Relationship Id="rId48" Type="http://schemas.openxmlformats.org/officeDocument/2006/relationships/image" Target="media/image13.wmf"/><Relationship Id="rId47" Type="http://schemas.openxmlformats.org/officeDocument/2006/relationships/oleObject" Target="embeddings/oleObject11.bin"/><Relationship Id="rId46" Type="http://schemas.openxmlformats.org/officeDocument/2006/relationships/image" Target="media/image12.wmf"/><Relationship Id="rId45" Type="http://schemas.openxmlformats.org/officeDocument/2006/relationships/oleObject" Target="embeddings/oleObject10.bin"/><Relationship Id="rId44" Type="http://schemas.openxmlformats.org/officeDocument/2006/relationships/image" Target="media/image11.wmf"/><Relationship Id="rId43" Type="http://schemas.openxmlformats.org/officeDocument/2006/relationships/oleObject" Target="embeddings/oleObject9.bin"/><Relationship Id="rId42" Type="http://schemas.openxmlformats.org/officeDocument/2006/relationships/image" Target="media/image10.wmf"/><Relationship Id="rId41" Type="http://schemas.openxmlformats.org/officeDocument/2006/relationships/oleObject" Target="embeddings/oleObject8.bin"/><Relationship Id="rId40" Type="http://schemas.openxmlformats.org/officeDocument/2006/relationships/image" Target="media/image9.wmf"/><Relationship Id="rId4" Type="http://schemas.openxmlformats.org/officeDocument/2006/relationships/footer" Target="footer1.xml"/><Relationship Id="rId39" Type="http://schemas.openxmlformats.org/officeDocument/2006/relationships/oleObject" Target="embeddings/oleObject7.bin"/><Relationship Id="rId38" Type="http://schemas.openxmlformats.org/officeDocument/2006/relationships/image" Target="media/image8.wmf"/><Relationship Id="rId37" Type="http://schemas.openxmlformats.org/officeDocument/2006/relationships/oleObject" Target="embeddings/oleObject6.bin"/><Relationship Id="rId36" Type="http://schemas.openxmlformats.org/officeDocument/2006/relationships/image" Target="media/image7.wmf"/><Relationship Id="rId35" Type="http://schemas.openxmlformats.org/officeDocument/2006/relationships/oleObject" Target="embeddings/oleObject5.bin"/><Relationship Id="rId34" Type="http://schemas.openxmlformats.org/officeDocument/2006/relationships/image" Target="media/image6.wmf"/><Relationship Id="rId33" Type="http://schemas.openxmlformats.org/officeDocument/2006/relationships/oleObject" Target="embeddings/oleObject4.bin"/><Relationship Id="rId32" Type="http://schemas.openxmlformats.org/officeDocument/2006/relationships/image" Target="media/image5.wmf"/><Relationship Id="rId31" Type="http://schemas.openxmlformats.org/officeDocument/2006/relationships/oleObject" Target="embeddings/oleObject3.bin"/><Relationship Id="rId30" Type="http://schemas.openxmlformats.org/officeDocument/2006/relationships/image" Target="media/image4.w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3.wmf"/><Relationship Id="rId27" Type="http://schemas.openxmlformats.org/officeDocument/2006/relationships/oleObject" Target="embeddings/oleObject1.bin"/><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91</Pages>
  <Words>59315</Words>
  <Characters>63280</Characters>
  <Lines>1</Lines>
  <Paragraphs>1</Paragraphs>
  <TotalTime>228</TotalTime>
  <ScaleCrop>false</ScaleCrop>
  <LinksUpToDate>false</LinksUpToDate>
  <CharactersWithSpaces>66101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2024-09-28T04:36:00Z</dcterms:created>
  <dc:creator>Administrator</dc:creator>
  <cp:lastModifiedBy>Suzan</cp:lastModifiedBy>
  <cp:lastPrinted>2024-09-29T01:33:00Z</cp:lastPrinted>
  <dcterms:modified xsi:type="dcterms:W3CDTF">2026-06-05T01:36:20Z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2E8B9F8565F64B879E9FF31D3341138B_13</vt:lpwstr>
  </property>
  <property fmtid="{D5CDD505-2E9C-101B-9397-08002B2CF9AE}" pid="4" name="KSOTemplateDocerSaveRecord">
    <vt:lpwstr>eyJoZGlkIjoiODlhOTY0ZDFlMGVlZTAxNjkzOWY1MzYxNWE5MmUwNDgiLCJ1c2VySWQiOiIyOTY1Nzc1OTEifQ==</vt:lpwstr>
  </property>
</Properties>
</file>