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691A1">
      <w:pPr>
        <w:wordWrap w:val="0"/>
        <w:spacing w:before="93" w:after="93"/>
        <w:jc w:val="right"/>
        <w:rPr>
          <w:sz w:val="28"/>
          <w:szCs w:val="28"/>
        </w:rPr>
      </w:pPr>
      <w:r>
        <w:rPr>
          <w:rFonts w:hint="eastAsia"/>
          <w:sz w:val="28"/>
          <w:szCs w:val="28"/>
        </w:rPr>
        <w:t xml:space="preserve"> </w:t>
      </w:r>
    </w:p>
    <w:p w14:paraId="08E954B3">
      <w:pPr>
        <w:spacing w:before="93" w:after="93"/>
      </w:pPr>
    </w:p>
    <w:p w14:paraId="3C92AF2D">
      <w:pPr>
        <w:spacing w:before="93" w:after="93"/>
      </w:pPr>
    </w:p>
    <w:p w14:paraId="62AEB539">
      <w:pPr>
        <w:spacing w:before="93" w:after="93"/>
      </w:pPr>
    </w:p>
    <w:p w14:paraId="55E5F303">
      <w:pPr>
        <w:spacing w:before="93" w:after="93"/>
      </w:pPr>
    </w:p>
    <w:p w14:paraId="7D11EF54">
      <w:pPr>
        <w:spacing w:before="93" w:after="93"/>
      </w:pPr>
    </w:p>
    <w:p w14:paraId="127BE451">
      <w:pPr>
        <w:spacing w:before="93" w:after="93"/>
      </w:pPr>
    </w:p>
    <w:p w14:paraId="69A4E6F8">
      <w:pPr>
        <w:spacing w:before="93" w:after="93"/>
      </w:pPr>
    </w:p>
    <w:p w14:paraId="682ADF02">
      <w:pPr>
        <w:spacing w:before="93" w:after="93"/>
      </w:pPr>
    </w:p>
    <w:p w14:paraId="5BAD06C4">
      <w:pPr>
        <w:spacing w:beforeLines="50" w:afterLines="50" w:line="360" w:lineRule="auto"/>
        <w:jc w:val="center"/>
        <w:rPr>
          <w:rFonts w:hint="eastAsia"/>
          <w:b/>
          <w:sz w:val="36"/>
          <w:szCs w:val="36"/>
        </w:rPr>
      </w:pPr>
      <w:r>
        <w:rPr>
          <w:rFonts w:hint="eastAsia"/>
          <w:b/>
          <w:sz w:val="36"/>
          <w:szCs w:val="36"/>
          <w:lang w:val="en-US" w:eastAsia="zh-CN"/>
        </w:rPr>
        <w:t>直膨式</w:t>
      </w:r>
      <w:r>
        <w:rPr>
          <w:rFonts w:hint="eastAsia"/>
          <w:b/>
          <w:sz w:val="36"/>
          <w:szCs w:val="36"/>
        </w:rPr>
        <w:t>新风机组</w:t>
      </w:r>
    </w:p>
    <w:p w14:paraId="17A0593F">
      <w:pPr>
        <w:spacing w:beforeLines="50" w:afterLines="50" w:line="360" w:lineRule="auto"/>
        <w:jc w:val="center"/>
        <w:rPr>
          <w:b/>
          <w:sz w:val="36"/>
          <w:szCs w:val="36"/>
        </w:rPr>
      </w:pPr>
      <w:r>
        <w:rPr>
          <w:rFonts w:hint="eastAsia"/>
          <w:b/>
          <w:sz w:val="36"/>
          <w:szCs w:val="36"/>
          <w:lang w:val="en-US" w:eastAsia="zh-CN"/>
        </w:rPr>
        <w:t>技术要求</w:t>
      </w:r>
    </w:p>
    <w:p w14:paraId="72E140CD">
      <w:pPr>
        <w:spacing w:before="93" w:after="93"/>
      </w:pPr>
    </w:p>
    <w:p w14:paraId="1A832B11">
      <w:pPr>
        <w:spacing w:before="93" w:after="93"/>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499038B6">
      <w:pPr>
        <w:pStyle w:val="2"/>
      </w:pPr>
      <w:bookmarkStart w:id="0" w:name="_Toc432782266"/>
      <w:r>
        <w:t>规范符合性要求</w:t>
      </w:r>
      <w:bookmarkEnd w:id="0"/>
    </w:p>
    <w:p w14:paraId="2685BA79">
      <w:pPr>
        <w:pStyle w:val="40"/>
        <w:numPr>
          <w:ilvl w:val="0"/>
          <w:numId w:val="5"/>
        </w:numPr>
        <w:spacing w:before="93" w:after="93"/>
        <w:ind w:firstLineChars="0"/>
        <w:rPr>
          <w:rFonts w:ascii="宋体" w:hAnsi="宋体" w:eastAsia="宋体"/>
          <w:sz w:val="24"/>
          <w:szCs w:val="24"/>
        </w:rPr>
      </w:pPr>
      <w:r>
        <w:rPr>
          <w:rFonts w:hint="eastAsia" w:ascii="宋体" w:hAnsi="宋体" w:eastAsia="宋体"/>
          <w:sz w:val="24"/>
          <w:szCs w:val="24"/>
        </w:rPr>
        <w:t>设备的设计、制造、安装、检验、试验及相关性能参数应符合中华人民共和国有关行业标准和规范或应符合所在国家的有关行业标准和规范以及国际通用标准。</w:t>
      </w:r>
    </w:p>
    <w:p w14:paraId="193C7787">
      <w:pPr>
        <w:pStyle w:val="40"/>
        <w:numPr>
          <w:ilvl w:val="0"/>
          <w:numId w:val="5"/>
        </w:numPr>
        <w:spacing w:before="93" w:after="93"/>
        <w:ind w:firstLineChars="0"/>
        <w:rPr>
          <w:rFonts w:ascii="宋体" w:hAnsi="宋体" w:eastAsia="宋体"/>
          <w:sz w:val="24"/>
          <w:szCs w:val="24"/>
        </w:rPr>
      </w:pPr>
      <w:r>
        <w:rPr>
          <w:rFonts w:hint="eastAsia" w:ascii="宋体" w:hAnsi="宋体" w:eastAsia="宋体"/>
          <w:sz w:val="24"/>
          <w:szCs w:val="24"/>
        </w:rPr>
        <w:t>设备生产所用的材料应符合和达到所在国家的材料质量标准，投标人应向招标方提供主要设备用料的质量证明文件和相关的检验、试验与规范和标准。</w:t>
      </w:r>
    </w:p>
    <w:p w14:paraId="73D815EA">
      <w:pPr>
        <w:spacing w:before="93" w:after="93"/>
        <w:ind w:left="420" w:leftChars="200"/>
        <w:rPr>
          <w:rFonts w:hint="eastAsia" w:eastAsia="宋体"/>
          <w:sz w:val="24"/>
          <w:szCs w:val="28"/>
          <w:lang w:eastAsia="zh-CN"/>
        </w:rPr>
      </w:pPr>
      <w:r>
        <w:rPr>
          <w:rFonts w:hint="eastAsia" w:ascii="宋体" w:hAnsi="宋体" w:eastAsia="宋体"/>
          <w:sz w:val="24"/>
          <w:szCs w:val="24"/>
        </w:rPr>
        <w:t>在本部分中引用的标准和规范，应是现行版本标准。所有提供设备的设计、制造、检验、测试、验收等标准应符合国际标准化组织及国际、国内相关行业已实施的标准</w:t>
      </w:r>
      <w:r>
        <w:rPr>
          <w:rFonts w:hint="eastAsia" w:ascii="宋体" w:hAnsi="宋体" w:eastAsia="宋体"/>
          <w:sz w:val="24"/>
          <w:szCs w:val="24"/>
          <w:lang w:eastAsia="zh-CN"/>
        </w:rPr>
        <w:t>。</w:t>
      </w:r>
    </w:p>
    <w:p w14:paraId="4CCBFD31">
      <w:pPr>
        <w:spacing w:before="93" w:after="93"/>
        <w:ind w:left="420" w:leftChars="200"/>
      </w:pPr>
    </w:p>
    <w:p w14:paraId="53D8CDEC">
      <w:pPr>
        <w:pStyle w:val="2"/>
      </w:pPr>
      <w:bookmarkStart w:id="1" w:name="_Toc432782270"/>
      <w:r>
        <w:t>产品技术要求</w:t>
      </w:r>
      <w:bookmarkEnd w:id="1"/>
    </w:p>
    <w:p w14:paraId="4737BAA2">
      <w:pPr>
        <w:pStyle w:val="3"/>
        <w:rPr>
          <w:sz w:val="22"/>
          <w:szCs w:val="24"/>
        </w:rPr>
      </w:pPr>
      <w:bookmarkStart w:id="2" w:name="_Toc432782271"/>
      <w:r>
        <w:rPr>
          <w:rFonts w:hint="eastAsia"/>
          <w:sz w:val="22"/>
          <w:szCs w:val="24"/>
        </w:rPr>
        <w:t>总则</w:t>
      </w:r>
      <w:bookmarkEnd w:id="2"/>
    </w:p>
    <w:p w14:paraId="319C66C6">
      <w:pPr>
        <w:spacing w:before="93" w:after="93"/>
        <w:ind w:left="420" w:leftChars="200"/>
        <w:rPr>
          <w:rFonts w:hint="eastAsia" w:ascii="宋体" w:hAnsi="宋体" w:eastAsia="宋体"/>
          <w:sz w:val="21"/>
          <w:szCs w:val="21"/>
        </w:rPr>
      </w:pPr>
      <w:r>
        <w:rPr>
          <w:rFonts w:hint="eastAsia" w:ascii="宋体" w:hAnsi="宋体" w:eastAsia="宋体"/>
          <w:sz w:val="21"/>
          <w:szCs w:val="21"/>
        </w:rPr>
        <w:t>供货方提供的设备，必须满足用户方提出的有关设计参数，并确保在用户方提出的气象及厂址条件下，长期安全可靠运行，并提供相应的技术方案。</w:t>
      </w:r>
    </w:p>
    <w:p w14:paraId="3900E5FB">
      <w:pPr>
        <w:pStyle w:val="3"/>
        <w:rPr>
          <w:sz w:val="22"/>
          <w:szCs w:val="24"/>
        </w:rPr>
      </w:pPr>
      <w:bookmarkStart w:id="3" w:name="_Toc432782272"/>
      <w:r>
        <w:rPr>
          <w:rFonts w:hint="eastAsia"/>
          <w:sz w:val="22"/>
          <w:szCs w:val="24"/>
        </w:rPr>
        <w:t>设计要求</w:t>
      </w:r>
      <w:bookmarkEnd w:id="3"/>
    </w:p>
    <w:p w14:paraId="173705F1">
      <w:pPr>
        <w:pStyle w:val="40"/>
        <w:numPr>
          <w:ilvl w:val="0"/>
          <w:numId w:val="6"/>
        </w:numPr>
        <w:spacing w:before="93" w:after="93"/>
        <w:ind w:firstLineChars="0"/>
        <w:rPr>
          <w:sz w:val="21"/>
          <w:szCs w:val="22"/>
        </w:rPr>
      </w:pPr>
      <w:r>
        <w:rPr>
          <w:rFonts w:hint="eastAsia"/>
          <w:sz w:val="21"/>
          <w:szCs w:val="22"/>
        </w:rPr>
        <w:t>在标准空气工况下，机组的实测送风量应不小于额定风量（空气标准工况是指空气温度20℃、压力1013hPa，密度为1.2kg/m3时的空气状态）。</w:t>
      </w:r>
    </w:p>
    <w:p w14:paraId="50524C1C">
      <w:pPr>
        <w:pStyle w:val="40"/>
        <w:numPr>
          <w:ilvl w:val="0"/>
          <w:numId w:val="6"/>
        </w:numPr>
        <w:spacing w:before="93" w:after="93"/>
        <w:ind w:firstLineChars="0"/>
        <w:rPr>
          <w:sz w:val="21"/>
          <w:szCs w:val="22"/>
        </w:rPr>
      </w:pPr>
      <w:r>
        <w:rPr>
          <w:rFonts w:hint="eastAsia"/>
          <w:sz w:val="21"/>
          <w:szCs w:val="22"/>
        </w:rPr>
        <w:t>机组在标准空气工况下，机外静压实测值应不小于额定值。</w:t>
      </w:r>
    </w:p>
    <w:p w14:paraId="700D2E7A">
      <w:pPr>
        <w:pStyle w:val="40"/>
        <w:numPr>
          <w:ilvl w:val="0"/>
          <w:numId w:val="6"/>
        </w:numPr>
        <w:spacing w:before="93" w:after="93"/>
        <w:ind w:firstLineChars="0"/>
        <w:rPr>
          <w:sz w:val="21"/>
          <w:szCs w:val="22"/>
        </w:rPr>
      </w:pPr>
      <w:r>
        <w:rPr>
          <w:rFonts w:hint="eastAsia"/>
          <w:sz w:val="21"/>
          <w:szCs w:val="22"/>
        </w:rPr>
        <w:t>在机组内外压差为额定机外静压1.2倍时，其漏风率应不大于额定风量的3%。</w:t>
      </w:r>
    </w:p>
    <w:p w14:paraId="052F9144">
      <w:pPr>
        <w:pStyle w:val="40"/>
        <w:numPr>
          <w:ilvl w:val="0"/>
          <w:numId w:val="6"/>
        </w:numPr>
        <w:spacing w:before="93" w:after="93"/>
        <w:ind w:firstLineChars="0"/>
        <w:rPr>
          <w:sz w:val="21"/>
          <w:szCs w:val="22"/>
        </w:rPr>
      </w:pPr>
      <w:r>
        <w:rPr>
          <w:rFonts w:hint="eastAsia"/>
          <w:sz w:val="21"/>
          <w:szCs w:val="22"/>
        </w:rPr>
        <w:t>机组在标准空气工况下的制冷量的实测值应不小于额定值。</w:t>
      </w:r>
    </w:p>
    <w:p w14:paraId="595AA7CB">
      <w:pPr>
        <w:pStyle w:val="40"/>
        <w:numPr>
          <w:ilvl w:val="0"/>
          <w:numId w:val="6"/>
        </w:numPr>
        <w:spacing w:before="93" w:after="93"/>
        <w:ind w:firstLineChars="0"/>
        <w:rPr>
          <w:sz w:val="21"/>
          <w:szCs w:val="22"/>
        </w:rPr>
      </w:pPr>
      <w:r>
        <w:rPr>
          <w:rFonts w:hint="eastAsia"/>
          <w:sz w:val="21"/>
          <w:szCs w:val="22"/>
        </w:rPr>
        <w:t>保证机组室外在-15℃-40℃时能正常启动并正常运行。</w:t>
      </w:r>
    </w:p>
    <w:p w14:paraId="46F71FE1">
      <w:pPr>
        <w:pStyle w:val="40"/>
        <w:numPr>
          <w:ilvl w:val="0"/>
          <w:numId w:val="6"/>
        </w:numPr>
        <w:spacing w:before="93" w:after="93"/>
        <w:ind w:firstLineChars="0"/>
        <w:rPr>
          <w:sz w:val="21"/>
          <w:szCs w:val="22"/>
        </w:rPr>
      </w:pPr>
      <w:r>
        <w:rPr>
          <w:rFonts w:hint="eastAsia"/>
          <w:sz w:val="21"/>
          <w:szCs w:val="22"/>
        </w:rPr>
        <w:t>机组运行噪声应满足国家与当地相关标准。</w:t>
      </w:r>
    </w:p>
    <w:p w14:paraId="738B3A53">
      <w:pPr>
        <w:pStyle w:val="3"/>
        <w:rPr>
          <w:sz w:val="22"/>
          <w:szCs w:val="24"/>
        </w:rPr>
      </w:pPr>
      <w:bookmarkStart w:id="4" w:name="_Toc432782273"/>
      <w:r>
        <w:rPr>
          <w:rFonts w:hint="eastAsia"/>
          <w:sz w:val="22"/>
          <w:szCs w:val="24"/>
        </w:rPr>
        <w:t>设计和结构要求</w:t>
      </w:r>
      <w:bookmarkEnd w:id="4"/>
    </w:p>
    <w:p w14:paraId="65B5B585">
      <w:pPr>
        <w:pStyle w:val="40"/>
        <w:numPr>
          <w:ilvl w:val="0"/>
          <w:numId w:val="7"/>
        </w:numPr>
        <w:spacing w:before="93" w:after="93"/>
        <w:ind w:firstLineChars="0"/>
        <w:rPr>
          <w:sz w:val="21"/>
          <w:szCs w:val="22"/>
        </w:rPr>
      </w:pPr>
      <w:r>
        <w:rPr>
          <w:rFonts w:hint="eastAsia"/>
          <w:sz w:val="21"/>
          <w:szCs w:val="22"/>
        </w:rPr>
        <w:t>新风空调机应是专门从事该设备生产制造厂的产品，并能提供完整的设计、安装以及技术性能资料及图纸。</w:t>
      </w:r>
    </w:p>
    <w:p w14:paraId="2E9E1CBA">
      <w:pPr>
        <w:pStyle w:val="40"/>
        <w:numPr>
          <w:ilvl w:val="0"/>
          <w:numId w:val="7"/>
        </w:numPr>
        <w:spacing w:before="93" w:after="93"/>
        <w:ind w:firstLineChars="0"/>
        <w:rPr>
          <w:sz w:val="21"/>
          <w:szCs w:val="22"/>
        </w:rPr>
      </w:pPr>
      <w:r>
        <w:rPr>
          <w:rFonts w:hint="eastAsia"/>
          <w:sz w:val="21"/>
          <w:szCs w:val="22"/>
        </w:rPr>
        <w:t>机组应在工厂内按本技术规范书要求组装，并进行调试试验。机组应包括所要求的各功能段，以及制冷剂管路、控制部件、控制及动力接线、油分、单向阀、储液罐以及其它为满足机组运行必要部件，不接受在机组以外安装除铜管、电缆以外的任何阀件等。</w:t>
      </w:r>
    </w:p>
    <w:p w14:paraId="43B3EEDC">
      <w:pPr>
        <w:pStyle w:val="40"/>
        <w:numPr>
          <w:ilvl w:val="0"/>
          <w:numId w:val="7"/>
        </w:numPr>
        <w:spacing w:before="93" w:after="93"/>
        <w:ind w:firstLineChars="0"/>
        <w:rPr>
          <w:rFonts w:asciiTheme="minorEastAsia" w:hAnsiTheme="minorEastAsia"/>
          <w:sz w:val="21"/>
          <w:szCs w:val="21"/>
        </w:rPr>
      </w:pPr>
      <w:r>
        <w:rPr>
          <w:rFonts w:hint="eastAsia" w:asciiTheme="minorEastAsia" w:hAnsiTheme="minorEastAsia"/>
          <w:sz w:val="21"/>
          <w:szCs w:val="21"/>
        </w:rPr>
        <w:t>新风机组应具有智能节能型除霜功能，</w:t>
      </w:r>
      <w:r>
        <w:rPr>
          <w:rFonts w:hint="eastAsia" w:asciiTheme="minorEastAsia" w:hAnsiTheme="minorEastAsia"/>
          <w:sz w:val="21"/>
          <w:szCs w:val="21"/>
          <w:lang w:eastAsia="zh-CN"/>
        </w:rPr>
        <w:t>投标人</w:t>
      </w:r>
      <w:r>
        <w:rPr>
          <w:rFonts w:hint="eastAsia" w:asciiTheme="minorEastAsia" w:hAnsiTheme="minorEastAsia"/>
          <w:sz w:val="21"/>
          <w:szCs w:val="21"/>
        </w:rPr>
        <w:t>应明确除霜原理及措施，保证设备除霜过程时，室内机制热的连续性。</w:t>
      </w:r>
    </w:p>
    <w:p w14:paraId="48655443">
      <w:pPr>
        <w:pStyle w:val="40"/>
        <w:numPr>
          <w:ilvl w:val="0"/>
          <w:numId w:val="7"/>
        </w:numPr>
        <w:spacing w:before="93" w:after="93"/>
        <w:ind w:firstLineChars="0"/>
        <w:rPr>
          <w:rFonts w:asciiTheme="minorEastAsia" w:hAnsiTheme="minorEastAsia"/>
          <w:sz w:val="21"/>
          <w:szCs w:val="21"/>
        </w:rPr>
      </w:pPr>
      <w:r>
        <w:rPr>
          <w:rFonts w:hint="eastAsia" w:asciiTheme="minorEastAsia" w:hAnsiTheme="minorEastAsia"/>
          <w:sz w:val="21"/>
          <w:szCs w:val="21"/>
        </w:rPr>
        <w:t>新风空调机组结构</w:t>
      </w:r>
    </w:p>
    <w:p w14:paraId="6E2EB6B6">
      <w:pPr>
        <w:spacing w:before="93" w:after="93"/>
        <w:rPr>
          <w:sz w:val="21"/>
          <w:szCs w:val="22"/>
        </w:rPr>
      </w:pPr>
      <w:r>
        <w:rPr>
          <w:rFonts w:hint="eastAsia"/>
          <w:sz w:val="21"/>
          <w:szCs w:val="22"/>
        </w:rPr>
        <w:t>（1）机组本体：</w:t>
      </w:r>
    </w:p>
    <w:p w14:paraId="5DBC5604">
      <w:pPr>
        <w:spacing w:before="93" w:after="93"/>
        <w:ind w:left="420" w:leftChars="200"/>
        <w:rPr>
          <w:sz w:val="21"/>
          <w:szCs w:val="22"/>
        </w:rPr>
      </w:pPr>
      <w:r>
        <w:rPr>
          <w:rFonts w:hint="eastAsia"/>
          <w:sz w:val="21"/>
          <w:szCs w:val="22"/>
        </w:rPr>
        <w:t>a. 机组的框架为双层钣金结构制造，应有足够的强度和刚度，保证在运输、安装和运行中不产生永久变形。</w:t>
      </w:r>
    </w:p>
    <w:p w14:paraId="41C57D14">
      <w:pPr>
        <w:spacing w:before="93" w:after="93"/>
        <w:ind w:left="420" w:leftChars="200"/>
        <w:rPr>
          <w:sz w:val="21"/>
          <w:szCs w:val="22"/>
        </w:rPr>
      </w:pPr>
      <w:r>
        <w:rPr>
          <w:rFonts w:hint="eastAsia"/>
          <w:sz w:val="21"/>
          <w:szCs w:val="22"/>
        </w:rPr>
        <w:t>b. 各功能段之间框架连接件应有良好的保温结构而不致产生“冷桥”。</w:t>
      </w:r>
    </w:p>
    <w:p w14:paraId="56708192">
      <w:pPr>
        <w:spacing w:before="93" w:after="93"/>
        <w:ind w:left="420" w:leftChars="200"/>
        <w:rPr>
          <w:sz w:val="21"/>
          <w:szCs w:val="22"/>
        </w:rPr>
      </w:pPr>
      <w:r>
        <w:rPr>
          <w:rFonts w:hint="eastAsia"/>
          <w:sz w:val="21"/>
          <w:szCs w:val="22"/>
        </w:rPr>
        <w:t>c. 框架上应有起重吊耳或其他可行的起吊措施。</w:t>
      </w:r>
    </w:p>
    <w:p w14:paraId="46D07585">
      <w:pPr>
        <w:spacing w:before="93" w:after="93"/>
        <w:rPr>
          <w:rFonts w:hint="eastAsia"/>
          <w:sz w:val="21"/>
          <w:szCs w:val="22"/>
        </w:rPr>
      </w:pPr>
      <w:r>
        <w:rPr>
          <w:rFonts w:hint="eastAsia"/>
          <w:sz w:val="21"/>
          <w:szCs w:val="22"/>
        </w:rPr>
        <w:t>（2）箱体面板：</w:t>
      </w:r>
    </w:p>
    <w:p w14:paraId="525F4F75">
      <w:pPr>
        <w:spacing w:before="93" w:after="93"/>
        <w:ind w:firstLine="420" w:firstLineChars="200"/>
        <w:rPr>
          <w:sz w:val="21"/>
          <w:szCs w:val="22"/>
        </w:rPr>
      </w:pPr>
      <w:r>
        <w:rPr>
          <w:rFonts w:hint="eastAsia"/>
          <w:sz w:val="21"/>
          <w:szCs w:val="22"/>
        </w:rPr>
        <w:t>箱体面板应满足下列最低要求：</w:t>
      </w:r>
    </w:p>
    <w:p w14:paraId="34A3BADC">
      <w:pPr>
        <w:spacing w:before="93" w:after="93"/>
        <w:ind w:left="420" w:hanging="420" w:hangingChars="200"/>
        <w:rPr>
          <w:rFonts w:hint="eastAsia"/>
          <w:sz w:val="21"/>
          <w:szCs w:val="22"/>
          <w:lang w:val="en-US" w:eastAsia="zh-CN"/>
        </w:rPr>
      </w:pPr>
      <w:r>
        <w:rPr>
          <w:rFonts w:hint="eastAsia"/>
          <w:sz w:val="21"/>
          <w:szCs w:val="22"/>
        </w:rPr>
        <w:tab/>
      </w:r>
      <w:r>
        <w:rPr>
          <w:rFonts w:hint="eastAsia"/>
          <w:sz w:val="21"/>
          <w:szCs w:val="22"/>
        </w:rPr>
        <w:t xml:space="preserve">a. </w:t>
      </w:r>
      <w:r>
        <w:rPr>
          <w:rFonts w:hint="eastAsia"/>
          <w:sz w:val="21"/>
          <w:szCs w:val="22"/>
          <w:lang w:val="en-US" w:eastAsia="zh-CN"/>
        </w:rPr>
        <w:t>面板采用双层冷轧静电喷塑钢板结构, 内层采用厚度不小于 0.8 毫米的镀锌钢 板，外层采用厚度不小于 1.3 毫米的冷轧喷涂钢板。</w:t>
      </w:r>
    </w:p>
    <w:p w14:paraId="55375665">
      <w:pPr>
        <w:spacing w:before="93" w:after="93"/>
        <w:ind w:left="420" w:hanging="420" w:hangingChars="200"/>
        <w:rPr>
          <w:sz w:val="21"/>
          <w:szCs w:val="22"/>
        </w:rPr>
      </w:pPr>
      <w:r>
        <w:rPr>
          <w:rFonts w:hint="eastAsia"/>
          <w:sz w:val="21"/>
          <w:szCs w:val="22"/>
        </w:rPr>
        <w:tab/>
      </w:r>
      <w:r>
        <w:rPr>
          <w:rFonts w:hint="eastAsia"/>
          <w:sz w:val="21"/>
          <w:szCs w:val="22"/>
        </w:rPr>
        <w:t>b. 在双层钢板面板的中间应有高压聚氨酯发泡保温层。保温后的最大传热系数应小于 0.035W/m2℃</w:t>
      </w:r>
      <w:r>
        <w:rPr>
          <w:rFonts w:hint="eastAsia"/>
          <w:sz w:val="21"/>
          <w:szCs w:val="22"/>
          <w:lang w:eastAsia="zh-CN"/>
        </w:rPr>
        <w:t>，</w:t>
      </w:r>
      <w:r>
        <w:rPr>
          <w:rFonts w:hint="eastAsia"/>
          <w:sz w:val="21"/>
          <w:szCs w:val="22"/>
          <w:lang w:val="en-US" w:eastAsia="zh-CN"/>
        </w:rPr>
        <w:t>保温厚度不应小于30mm</w:t>
      </w:r>
      <w:r>
        <w:rPr>
          <w:rFonts w:hint="eastAsia"/>
          <w:sz w:val="21"/>
          <w:szCs w:val="22"/>
        </w:rPr>
        <w:t>。保温层与面板应结合牢固、平整、无间隙。</w:t>
      </w:r>
    </w:p>
    <w:p w14:paraId="1386B9E1">
      <w:pPr>
        <w:spacing w:before="93" w:after="93"/>
        <w:ind w:left="420" w:leftChars="200"/>
        <w:rPr>
          <w:sz w:val="21"/>
          <w:szCs w:val="22"/>
        </w:rPr>
      </w:pPr>
      <w:r>
        <w:rPr>
          <w:rFonts w:hint="eastAsia"/>
          <w:sz w:val="21"/>
          <w:szCs w:val="22"/>
        </w:rPr>
        <w:t>c. 在机组最大静压下，面板应能持久保持平整，不变形。</w:t>
      </w:r>
    </w:p>
    <w:p w14:paraId="04CCB574">
      <w:pPr>
        <w:spacing w:before="93" w:after="93"/>
        <w:ind w:left="420" w:leftChars="200"/>
        <w:rPr>
          <w:sz w:val="21"/>
          <w:szCs w:val="22"/>
        </w:rPr>
      </w:pPr>
      <w:r>
        <w:rPr>
          <w:rFonts w:hint="eastAsia"/>
          <w:sz w:val="21"/>
          <w:szCs w:val="22"/>
        </w:rPr>
        <w:t>d. 底层面板的强度应满足检修人员进入而不致损坏保温材料。</w:t>
      </w:r>
    </w:p>
    <w:p w14:paraId="18969489">
      <w:pPr>
        <w:spacing w:before="93" w:after="93"/>
        <w:rPr>
          <w:sz w:val="21"/>
          <w:szCs w:val="22"/>
        </w:rPr>
      </w:pPr>
      <w:r>
        <w:rPr>
          <w:rFonts w:hint="eastAsia"/>
          <w:sz w:val="21"/>
          <w:szCs w:val="22"/>
        </w:rPr>
        <w:t>（3）检修门应满足下列最低要求：</w:t>
      </w:r>
    </w:p>
    <w:p w14:paraId="1EE09BBD">
      <w:pPr>
        <w:spacing w:before="93" w:after="93"/>
        <w:ind w:left="420" w:leftChars="200"/>
        <w:rPr>
          <w:sz w:val="21"/>
          <w:szCs w:val="22"/>
        </w:rPr>
      </w:pPr>
      <w:r>
        <w:rPr>
          <w:rFonts w:hint="eastAsia"/>
          <w:sz w:val="21"/>
          <w:szCs w:val="22"/>
        </w:rPr>
        <w:t>a. 检修门板的结构及其形式和材料应与面板相匹配。</w:t>
      </w:r>
    </w:p>
    <w:p w14:paraId="6C3DDFA8">
      <w:pPr>
        <w:spacing w:before="93" w:after="93"/>
        <w:ind w:left="420" w:leftChars="200"/>
        <w:rPr>
          <w:sz w:val="21"/>
          <w:szCs w:val="22"/>
        </w:rPr>
      </w:pPr>
      <w:r>
        <w:rPr>
          <w:rFonts w:hint="eastAsia"/>
          <w:sz w:val="21"/>
          <w:szCs w:val="22"/>
        </w:rPr>
        <w:t>b. 检修门应采用铰接方式定位，铰接材料为电镀钢材质。</w:t>
      </w:r>
    </w:p>
    <w:p w14:paraId="4F1F45DF">
      <w:pPr>
        <w:spacing w:before="93" w:after="93"/>
        <w:ind w:left="420" w:leftChars="200"/>
        <w:rPr>
          <w:sz w:val="21"/>
          <w:szCs w:val="22"/>
        </w:rPr>
      </w:pPr>
      <w:r>
        <w:rPr>
          <w:rFonts w:hint="eastAsia"/>
          <w:sz w:val="21"/>
          <w:szCs w:val="22"/>
        </w:rPr>
        <w:t>c. 检修门应能从箱体的内部和外部开、关，检修门须加锁。</w:t>
      </w:r>
    </w:p>
    <w:p w14:paraId="339010C3">
      <w:pPr>
        <w:spacing w:before="93" w:after="93"/>
        <w:ind w:left="420" w:leftChars="200"/>
        <w:rPr>
          <w:sz w:val="21"/>
          <w:szCs w:val="22"/>
        </w:rPr>
      </w:pPr>
      <w:r>
        <w:rPr>
          <w:rFonts w:hint="eastAsia"/>
          <w:sz w:val="21"/>
          <w:szCs w:val="22"/>
        </w:rPr>
        <w:t>d. 检修门应设有密封衬垫，密封衬垫应能在门不被拆除的条件下更换。</w:t>
      </w:r>
    </w:p>
    <w:p w14:paraId="413CFAFC">
      <w:pPr>
        <w:spacing w:before="93" w:after="93"/>
        <w:rPr>
          <w:sz w:val="21"/>
          <w:szCs w:val="22"/>
        </w:rPr>
      </w:pPr>
      <w:r>
        <w:rPr>
          <w:rFonts w:hint="eastAsia"/>
          <w:sz w:val="21"/>
          <w:szCs w:val="22"/>
        </w:rPr>
        <w:t>（4）制冷压缩机</w:t>
      </w:r>
    </w:p>
    <w:p w14:paraId="5939AACB">
      <w:pPr>
        <w:spacing w:before="93" w:after="93"/>
        <w:ind w:left="210" w:leftChars="100"/>
        <w:rPr>
          <w:rFonts w:hint="eastAsia"/>
          <w:sz w:val="21"/>
          <w:szCs w:val="22"/>
        </w:rPr>
      </w:pPr>
      <w:r>
        <w:rPr>
          <w:rFonts w:hint="eastAsia"/>
          <w:sz w:val="21"/>
          <w:szCs w:val="22"/>
        </w:rPr>
        <w:t>a. 机组应采用</w:t>
      </w:r>
      <w:r>
        <w:rPr>
          <w:rFonts w:hint="eastAsia"/>
          <w:sz w:val="21"/>
          <w:szCs w:val="22"/>
          <w:lang w:val="en-US" w:eastAsia="zh-CN"/>
        </w:rPr>
        <w:t>知名</w:t>
      </w:r>
      <w:r>
        <w:rPr>
          <w:rFonts w:hint="eastAsia"/>
          <w:sz w:val="21"/>
          <w:szCs w:val="22"/>
        </w:rPr>
        <w:t>高效节能高效涡旋变频压缩机、环保冷媒R410A、节能并精确控制冷媒流量的电子膨胀阀。室内机及室外机配有制造工厂提供的弹簧减震器, 弹簧减振装置应设有消声垫及找平螺栓，并且应该是独立而稳定的。设备干燥过滤器、膨胀阀采用进口品牌。</w:t>
      </w:r>
    </w:p>
    <w:p w14:paraId="3F7397B1">
      <w:pPr>
        <w:spacing w:before="93" w:after="93"/>
        <w:ind w:left="210" w:leftChars="100"/>
        <w:rPr>
          <w:sz w:val="21"/>
          <w:szCs w:val="22"/>
        </w:rPr>
      </w:pPr>
      <w:r>
        <w:rPr>
          <w:rFonts w:hint="eastAsia"/>
          <w:sz w:val="21"/>
          <w:szCs w:val="22"/>
        </w:rPr>
        <w:t>b. 当需选择多台制冷压缩机时，其应为同一型号。</w:t>
      </w:r>
    </w:p>
    <w:p w14:paraId="4755ED66">
      <w:pPr>
        <w:spacing w:before="93" w:after="93"/>
        <w:ind w:left="210" w:leftChars="100"/>
        <w:rPr>
          <w:sz w:val="21"/>
          <w:szCs w:val="22"/>
        </w:rPr>
      </w:pPr>
      <w:r>
        <w:rPr>
          <w:rFonts w:hint="eastAsia"/>
          <w:sz w:val="21"/>
          <w:szCs w:val="22"/>
        </w:rPr>
        <w:t>c. 制冷压缩机的生产、试验、检验应按生产制造厂方的国家标准及国际标准执行。</w:t>
      </w:r>
    </w:p>
    <w:p w14:paraId="191FD30E">
      <w:pPr>
        <w:spacing w:before="93" w:after="93"/>
        <w:rPr>
          <w:sz w:val="21"/>
          <w:szCs w:val="22"/>
        </w:rPr>
      </w:pPr>
      <w:r>
        <w:rPr>
          <w:rFonts w:hint="eastAsia"/>
          <w:sz w:val="21"/>
          <w:szCs w:val="22"/>
        </w:rPr>
        <w:t>（5）风冷冷凝器</w:t>
      </w:r>
    </w:p>
    <w:p w14:paraId="088A8246">
      <w:pPr>
        <w:spacing w:before="93" w:after="93"/>
        <w:ind w:left="210" w:leftChars="100"/>
        <w:rPr>
          <w:color w:val="FF0000"/>
          <w:sz w:val="21"/>
          <w:szCs w:val="22"/>
        </w:rPr>
      </w:pPr>
      <w:r>
        <w:rPr>
          <w:rFonts w:hint="eastAsia"/>
          <w:sz w:val="21"/>
          <w:szCs w:val="22"/>
        </w:rPr>
        <w:t>a. 风冷冷凝器室外布置，具体位置投标厂家在勘察现场后应给出优化建议。</w:t>
      </w:r>
    </w:p>
    <w:p w14:paraId="49338412">
      <w:pPr>
        <w:spacing w:before="93" w:after="93"/>
        <w:ind w:left="210" w:leftChars="100"/>
        <w:rPr>
          <w:sz w:val="21"/>
          <w:szCs w:val="22"/>
        </w:rPr>
      </w:pPr>
      <w:r>
        <w:rPr>
          <w:rFonts w:hint="eastAsia"/>
          <w:sz w:val="21"/>
          <w:szCs w:val="22"/>
        </w:rPr>
        <w:t>b. 冷凝器管束采用高效换热铜管。</w:t>
      </w:r>
    </w:p>
    <w:p w14:paraId="42FC710B">
      <w:pPr>
        <w:spacing w:before="93" w:after="93"/>
        <w:ind w:left="210" w:leftChars="100"/>
        <w:rPr>
          <w:sz w:val="21"/>
          <w:szCs w:val="22"/>
        </w:rPr>
      </w:pPr>
      <w:r>
        <w:rPr>
          <w:rFonts w:hint="eastAsia"/>
          <w:sz w:val="21"/>
          <w:szCs w:val="22"/>
        </w:rPr>
        <w:t>c. 冷凝器翅片形式，采用铝波纹翅片。</w:t>
      </w:r>
    </w:p>
    <w:p w14:paraId="1C5AC13C">
      <w:pPr>
        <w:spacing w:before="93" w:after="93"/>
        <w:ind w:left="210" w:leftChars="100"/>
        <w:rPr>
          <w:sz w:val="21"/>
          <w:szCs w:val="22"/>
        </w:rPr>
      </w:pPr>
      <w:r>
        <w:rPr>
          <w:rFonts w:hint="eastAsia"/>
          <w:sz w:val="21"/>
          <w:szCs w:val="22"/>
        </w:rPr>
        <w:t>d. 冷凝器风机型式，应为低噪声轴流式，驱动方式为直联。</w:t>
      </w:r>
    </w:p>
    <w:p w14:paraId="14A0D5A3">
      <w:pPr>
        <w:spacing w:before="93" w:after="93"/>
        <w:ind w:left="210" w:leftChars="100"/>
        <w:rPr>
          <w:sz w:val="21"/>
          <w:szCs w:val="22"/>
        </w:rPr>
      </w:pPr>
      <w:r>
        <w:rPr>
          <w:rFonts w:hint="eastAsia"/>
          <w:sz w:val="21"/>
          <w:szCs w:val="22"/>
        </w:rPr>
        <w:t>e. 冷凝器设计、制造应考虑现场水清扫的因素。</w:t>
      </w:r>
    </w:p>
    <w:p w14:paraId="46E40F8C">
      <w:pPr>
        <w:spacing w:before="93" w:after="93"/>
        <w:rPr>
          <w:sz w:val="21"/>
          <w:szCs w:val="22"/>
        </w:rPr>
      </w:pPr>
      <w:r>
        <w:rPr>
          <w:rFonts w:hint="eastAsia"/>
          <w:sz w:val="21"/>
          <w:szCs w:val="22"/>
        </w:rPr>
        <w:t>（6）直接蒸发盘管（冷却盘管）</w:t>
      </w:r>
    </w:p>
    <w:p w14:paraId="2FBD9A0C">
      <w:pPr>
        <w:spacing w:before="165" w:line="290" w:lineRule="auto"/>
        <w:ind w:left="420" w:leftChars="100" w:right="440" w:hanging="210" w:hangingChars="100"/>
        <w:rPr>
          <w:rFonts w:hint="eastAsia" w:eastAsiaTheme="minorEastAsia"/>
          <w:sz w:val="21"/>
          <w:szCs w:val="22"/>
          <w:lang w:val="en-US" w:eastAsia="zh-CN"/>
        </w:rPr>
      </w:pPr>
      <w:r>
        <w:rPr>
          <w:rFonts w:hint="eastAsia"/>
          <w:sz w:val="21"/>
          <w:szCs w:val="22"/>
        </w:rPr>
        <w:t xml:space="preserve">a. </w:t>
      </w:r>
      <w:r>
        <w:rPr>
          <w:rFonts w:hint="eastAsia"/>
          <w:color w:val="0000FF"/>
          <w:sz w:val="21"/>
          <w:szCs w:val="22"/>
        </w:rPr>
        <w:t>直接蒸发盘管应由紫铜管外胀铝双向开槽的翅片。无缝紫铜管管径最小为9.52mm，壁厚不小于 0.35mm。</w:t>
      </w:r>
    </w:p>
    <w:p w14:paraId="31FD7069">
      <w:pPr>
        <w:spacing w:before="93" w:after="93"/>
        <w:ind w:left="210" w:leftChars="100"/>
        <w:rPr>
          <w:sz w:val="21"/>
          <w:szCs w:val="22"/>
        </w:rPr>
      </w:pPr>
      <w:r>
        <w:rPr>
          <w:rFonts w:hint="eastAsia"/>
          <w:sz w:val="21"/>
          <w:szCs w:val="22"/>
        </w:rPr>
        <w:t>c.对于多台压缩机组装的机组，每台压缩机都应有单独的冷剂管路，电子膨胀阀应采用欧美日知名品牌产品。</w:t>
      </w:r>
    </w:p>
    <w:p w14:paraId="4BB570CD">
      <w:pPr>
        <w:spacing w:before="93" w:after="93"/>
        <w:ind w:left="210" w:leftChars="100"/>
        <w:rPr>
          <w:rFonts w:hint="eastAsia" w:eastAsiaTheme="minorEastAsia"/>
          <w:sz w:val="21"/>
          <w:szCs w:val="22"/>
          <w:lang w:eastAsia="zh-CN"/>
        </w:rPr>
      </w:pPr>
      <w:r>
        <w:rPr>
          <w:rFonts w:hint="eastAsia"/>
          <w:sz w:val="21"/>
          <w:szCs w:val="22"/>
        </w:rPr>
        <w:t>d. 空气通过制冷盘管的最大迎风面风速不应超过3 m/s。最大盘管排数不宜超过8排。当直接蒸发段的盘管断面风速大于2.5m/s时，应设置挡水板，风速均匀度要求达到87%以上</w:t>
      </w:r>
      <w:r>
        <w:rPr>
          <w:rFonts w:hint="eastAsia"/>
          <w:sz w:val="21"/>
          <w:szCs w:val="22"/>
          <w:lang w:eastAsia="zh-CN"/>
        </w:rPr>
        <w:t>，</w:t>
      </w:r>
      <w:r>
        <w:rPr>
          <w:rFonts w:hint="eastAsia"/>
          <w:sz w:val="21"/>
          <w:szCs w:val="22"/>
        </w:rPr>
        <w:t>挡水板应为不锈钢材质</w:t>
      </w:r>
      <w:r>
        <w:rPr>
          <w:rFonts w:hint="eastAsia"/>
          <w:sz w:val="21"/>
          <w:szCs w:val="22"/>
          <w:lang w:eastAsia="zh-CN"/>
        </w:rPr>
        <w:t>。</w:t>
      </w:r>
    </w:p>
    <w:p w14:paraId="5BA0436D">
      <w:pPr>
        <w:spacing w:before="93" w:after="93"/>
        <w:rPr>
          <w:sz w:val="21"/>
          <w:szCs w:val="22"/>
        </w:rPr>
      </w:pPr>
      <w:r>
        <w:rPr>
          <w:rFonts w:hint="eastAsia"/>
          <w:sz w:val="21"/>
          <w:szCs w:val="22"/>
        </w:rPr>
        <w:t>（7）送风机</w:t>
      </w:r>
    </w:p>
    <w:p w14:paraId="1189BBEA">
      <w:pPr>
        <w:spacing w:before="93" w:after="93"/>
        <w:ind w:left="420" w:leftChars="200"/>
        <w:rPr>
          <w:sz w:val="21"/>
          <w:szCs w:val="21"/>
        </w:rPr>
      </w:pPr>
      <w:r>
        <w:rPr>
          <w:rFonts w:hint="eastAsia"/>
          <w:sz w:val="21"/>
          <w:szCs w:val="22"/>
        </w:rPr>
        <w:t xml:space="preserve">a. </w:t>
      </w:r>
      <w:r>
        <w:rPr>
          <w:rFonts w:hint="eastAsia"/>
          <w:sz w:val="21"/>
          <w:szCs w:val="21"/>
        </w:rPr>
        <w:t>风机的风量，风压应能满足所规定的参数。</w:t>
      </w:r>
      <w:r>
        <w:rPr>
          <w:sz w:val="21"/>
          <w:szCs w:val="21"/>
        </w:rPr>
        <w:t>风机为</w:t>
      </w:r>
      <w:r>
        <w:rPr>
          <w:rFonts w:hint="eastAsia"/>
          <w:sz w:val="21"/>
          <w:szCs w:val="21"/>
          <w:lang w:val="en-US" w:eastAsia="zh-CN"/>
        </w:rPr>
        <w:t>离心</w:t>
      </w:r>
      <w:r>
        <w:rPr>
          <w:sz w:val="21"/>
          <w:szCs w:val="21"/>
        </w:rPr>
        <w:t>风机。</w:t>
      </w:r>
    </w:p>
    <w:p w14:paraId="6860B7AB">
      <w:pPr>
        <w:spacing w:before="93" w:after="93"/>
        <w:ind w:left="420" w:leftChars="200"/>
        <w:rPr>
          <w:b/>
          <w:sz w:val="21"/>
          <w:szCs w:val="21"/>
        </w:rPr>
      </w:pPr>
      <w:r>
        <w:rPr>
          <w:rFonts w:hint="eastAsia"/>
          <w:sz w:val="21"/>
          <w:szCs w:val="21"/>
        </w:rPr>
        <w:t xml:space="preserve">  变频风机根据IT机房内正压值进行变频调速，以维持机房内正压。因一台新风机控制5~6个房间，每个房间均设置压差传感器并将信号提供给新风机组，由新风机组处理或选择压差信号。</w:t>
      </w:r>
    </w:p>
    <w:p w14:paraId="619AFBBD">
      <w:pPr>
        <w:spacing w:before="93" w:after="93"/>
        <w:ind w:left="420" w:leftChars="200"/>
        <w:rPr>
          <w:sz w:val="21"/>
          <w:szCs w:val="21"/>
        </w:rPr>
      </w:pPr>
      <w:r>
        <w:rPr>
          <w:rFonts w:hint="eastAsia"/>
          <w:sz w:val="21"/>
          <w:szCs w:val="21"/>
        </w:rPr>
        <w:t>b. 风机及电动机均应为知名品牌产品。</w:t>
      </w:r>
    </w:p>
    <w:p w14:paraId="24169291">
      <w:pPr>
        <w:spacing w:before="93" w:after="93"/>
        <w:ind w:left="420" w:leftChars="200"/>
        <w:rPr>
          <w:sz w:val="21"/>
          <w:szCs w:val="21"/>
        </w:rPr>
      </w:pPr>
      <w:r>
        <w:rPr>
          <w:rFonts w:hint="eastAsia"/>
          <w:sz w:val="21"/>
          <w:szCs w:val="21"/>
        </w:rPr>
        <w:t>c. 风机应为离心式、单叶轮、双进风低噪声型。</w:t>
      </w:r>
    </w:p>
    <w:p w14:paraId="54E10460">
      <w:pPr>
        <w:spacing w:before="93" w:after="93"/>
        <w:ind w:left="420" w:leftChars="200"/>
        <w:rPr>
          <w:sz w:val="21"/>
          <w:szCs w:val="21"/>
        </w:rPr>
      </w:pPr>
      <w:r>
        <w:rPr>
          <w:rFonts w:hint="eastAsia"/>
          <w:sz w:val="21"/>
          <w:szCs w:val="21"/>
        </w:rPr>
        <w:t>d. 轴承的额定寿命应不小于15年。轴承润滑剂应能确保风机至少维持12个月运行周期而不需添加。润滑剂和密封件的更换或预防性维修时间应在维修手册内提供。</w:t>
      </w:r>
    </w:p>
    <w:p w14:paraId="5E077563">
      <w:pPr>
        <w:spacing w:before="93" w:after="93"/>
        <w:ind w:left="420" w:leftChars="200"/>
        <w:rPr>
          <w:sz w:val="21"/>
          <w:szCs w:val="21"/>
        </w:rPr>
      </w:pPr>
      <w:r>
        <w:rPr>
          <w:sz w:val="21"/>
          <w:szCs w:val="21"/>
        </w:rPr>
        <w:t>e</w:t>
      </w:r>
      <w:r>
        <w:rPr>
          <w:rFonts w:hint="eastAsia"/>
          <w:sz w:val="21"/>
          <w:szCs w:val="21"/>
        </w:rPr>
        <w:t xml:space="preserve"> 电动机转速不应超过1450 r/min。</w:t>
      </w:r>
    </w:p>
    <w:p w14:paraId="4B2736F4">
      <w:pPr>
        <w:spacing w:before="93" w:after="93"/>
        <w:ind w:left="420" w:leftChars="200"/>
        <w:rPr>
          <w:sz w:val="21"/>
          <w:szCs w:val="21"/>
        </w:rPr>
      </w:pPr>
      <w:r>
        <w:rPr>
          <w:sz w:val="21"/>
          <w:szCs w:val="21"/>
        </w:rPr>
        <w:t>f</w:t>
      </w:r>
      <w:r>
        <w:rPr>
          <w:rFonts w:hint="eastAsia"/>
          <w:sz w:val="21"/>
          <w:szCs w:val="21"/>
        </w:rPr>
        <w:t>. 风机与电动机间应采用皮带传动。</w:t>
      </w:r>
    </w:p>
    <w:p w14:paraId="3694123F">
      <w:pPr>
        <w:spacing w:before="93" w:after="93"/>
        <w:ind w:left="420" w:leftChars="200"/>
        <w:rPr>
          <w:sz w:val="21"/>
          <w:szCs w:val="21"/>
        </w:rPr>
      </w:pPr>
      <w:r>
        <w:rPr>
          <w:sz w:val="21"/>
          <w:szCs w:val="21"/>
        </w:rPr>
        <w:t>g</w:t>
      </w:r>
      <w:r>
        <w:rPr>
          <w:rFonts w:hint="eastAsia"/>
          <w:sz w:val="21"/>
          <w:szCs w:val="21"/>
        </w:rPr>
        <w:t>. 电动机的机座应为可调型机座，以便调节皮带的松紧。</w:t>
      </w:r>
    </w:p>
    <w:p w14:paraId="547C2E49">
      <w:pPr>
        <w:spacing w:before="93" w:after="93"/>
        <w:ind w:left="420" w:leftChars="200"/>
        <w:rPr>
          <w:sz w:val="21"/>
          <w:szCs w:val="21"/>
        </w:rPr>
      </w:pPr>
      <w:r>
        <w:rPr>
          <w:sz w:val="21"/>
          <w:szCs w:val="21"/>
        </w:rPr>
        <w:t>h</w:t>
      </w:r>
      <w:r>
        <w:rPr>
          <w:rFonts w:hint="eastAsia"/>
          <w:sz w:val="21"/>
          <w:szCs w:val="21"/>
        </w:rPr>
        <w:t xml:space="preserve"> 机组内风机隔振应满足下列要求：</w:t>
      </w:r>
    </w:p>
    <w:p w14:paraId="63DF6D36">
      <w:pPr>
        <w:spacing w:before="93" w:after="93"/>
        <w:ind w:left="210" w:leftChars="100"/>
        <w:rPr>
          <w:sz w:val="21"/>
          <w:szCs w:val="21"/>
        </w:rPr>
      </w:pPr>
      <w:r>
        <w:rPr>
          <w:rFonts w:hint="eastAsia"/>
          <w:sz w:val="21"/>
          <w:szCs w:val="21"/>
        </w:rPr>
        <w:tab/>
      </w:r>
      <w:r>
        <w:rPr>
          <w:rFonts w:hint="eastAsia"/>
          <w:sz w:val="21"/>
          <w:szCs w:val="21"/>
        </w:rPr>
        <w:t>离心风机应有为满足下述要求而设计的弹簧、隔振装置。</w:t>
      </w:r>
    </w:p>
    <w:tbl>
      <w:tblPr>
        <w:tblStyle w:val="22"/>
        <w:tblW w:w="581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939"/>
      </w:tblGrid>
      <w:tr w14:paraId="1B12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41434D54">
            <w:pPr>
              <w:spacing w:before="93" w:after="93"/>
              <w:rPr>
                <w:rFonts w:ascii="宋体" w:hAnsi="宋体"/>
                <w:sz w:val="18"/>
                <w:szCs w:val="18"/>
              </w:rPr>
            </w:pPr>
            <w:r>
              <w:rPr>
                <w:rFonts w:hint="eastAsia" w:ascii="宋体" w:hAnsi="宋体"/>
                <w:sz w:val="18"/>
                <w:szCs w:val="18"/>
              </w:rPr>
              <w:t>风机转速</w:t>
            </w:r>
          </w:p>
        </w:tc>
        <w:tc>
          <w:tcPr>
            <w:tcW w:w="2939" w:type="dxa"/>
          </w:tcPr>
          <w:p w14:paraId="3C093A38">
            <w:pPr>
              <w:spacing w:before="93" w:after="93"/>
              <w:rPr>
                <w:rFonts w:ascii="宋体" w:hAnsi="宋体"/>
                <w:sz w:val="18"/>
                <w:szCs w:val="18"/>
              </w:rPr>
            </w:pPr>
            <w:r>
              <w:rPr>
                <w:rFonts w:hint="eastAsia" w:ascii="宋体" w:hAnsi="宋体"/>
                <w:sz w:val="18"/>
                <w:szCs w:val="18"/>
              </w:rPr>
              <w:t>隔  振  效  率</w:t>
            </w:r>
          </w:p>
        </w:tc>
      </w:tr>
      <w:tr w14:paraId="25D2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0C5424D5">
            <w:pPr>
              <w:spacing w:before="93" w:after="93"/>
              <w:rPr>
                <w:rFonts w:ascii="宋体" w:hAnsi="宋体"/>
                <w:sz w:val="18"/>
                <w:szCs w:val="18"/>
              </w:rPr>
            </w:pPr>
            <w:r>
              <w:rPr>
                <w:rFonts w:hint="eastAsia" w:ascii="宋体" w:hAnsi="宋体"/>
                <w:sz w:val="18"/>
                <w:szCs w:val="18"/>
              </w:rPr>
              <w:t xml:space="preserve">450～850 </w:t>
            </w:r>
            <w:r>
              <w:rPr>
                <w:rFonts w:ascii="宋体" w:hAnsi="宋体"/>
                <w:sz w:val="18"/>
                <w:szCs w:val="18"/>
              </w:rPr>
              <w:t>r/min</w:t>
            </w:r>
          </w:p>
        </w:tc>
        <w:tc>
          <w:tcPr>
            <w:tcW w:w="2939" w:type="dxa"/>
          </w:tcPr>
          <w:p w14:paraId="4D83058D">
            <w:pPr>
              <w:spacing w:before="93" w:after="93"/>
              <w:rPr>
                <w:rFonts w:ascii="宋体" w:hAnsi="宋体"/>
                <w:sz w:val="18"/>
                <w:szCs w:val="18"/>
              </w:rPr>
            </w:pPr>
            <w:r>
              <w:rPr>
                <w:rFonts w:ascii="宋体" w:hAnsi="宋体"/>
                <w:sz w:val="18"/>
                <w:szCs w:val="18"/>
              </w:rPr>
              <w:t>90%</w:t>
            </w:r>
          </w:p>
        </w:tc>
      </w:tr>
      <w:tr w14:paraId="14CB3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3" w:type="dxa"/>
          </w:tcPr>
          <w:p w14:paraId="334F7D05">
            <w:pPr>
              <w:spacing w:before="93" w:after="93"/>
              <w:rPr>
                <w:rFonts w:ascii="宋体" w:hAnsi="宋体"/>
                <w:sz w:val="18"/>
                <w:szCs w:val="18"/>
              </w:rPr>
            </w:pPr>
            <w:r>
              <w:rPr>
                <w:rFonts w:hint="eastAsia" w:ascii="宋体" w:hAnsi="宋体"/>
                <w:sz w:val="18"/>
                <w:szCs w:val="18"/>
              </w:rPr>
              <w:t>≥</w:t>
            </w:r>
            <w:r>
              <w:rPr>
                <w:rFonts w:ascii="宋体" w:hAnsi="宋体"/>
                <w:sz w:val="18"/>
                <w:szCs w:val="18"/>
              </w:rPr>
              <w:t>850</w:t>
            </w:r>
            <w:r>
              <w:rPr>
                <w:rFonts w:hint="eastAsia" w:ascii="宋体" w:hAnsi="宋体"/>
                <w:sz w:val="18"/>
                <w:szCs w:val="18"/>
              </w:rPr>
              <w:t xml:space="preserve"> </w:t>
            </w:r>
            <w:r>
              <w:rPr>
                <w:rFonts w:ascii="宋体" w:hAnsi="宋体"/>
                <w:sz w:val="18"/>
                <w:szCs w:val="18"/>
              </w:rPr>
              <w:t>r/min</w:t>
            </w:r>
            <w:r>
              <w:rPr>
                <w:rFonts w:hint="eastAsia" w:ascii="宋体" w:hAnsi="宋体"/>
                <w:sz w:val="18"/>
                <w:szCs w:val="18"/>
              </w:rPr>
              <w:t>以上</w:t>
            </w:r>
          </w:p>
        </w:tc>
        <w:tc>
          <w:tcPr>
            <w:tcW w:w="2939" w:type="dxa"/>
          </w:tcPr>
          <w:p w14:paraId="4005132B">
            <w:pPr>
              <w:spacing w:before="93" w:after="93"/>
              <w:rPr>
                <w:rFonts w:ascii="宋体" w:hAnsi="宋体"/>
                <w:sz w:val="18"/>
                <w:szCs w:val="18"/>
              </w:rPr>
            </w:pPr>
            <w:r>
              <w:rPr>
                <w:rFonts w:hint="eastAsia" w:ascii="宋体" w:hAnsi="宋体"/>
                <w:sz w:val="18"/>
                <w:szCs w:val="18"/>
              </w:rPr>
              <w:t>95%</w:t>
            </w:r>
          </w:p>
        </w:tc>
      </w:tr>
    </w:tbl>
    <w:p w14:paraId="372D4A4B">
      <w:pPr>
        <w:spacing w:before="93" w:after="93"/>
        <w:rPr>
          <w:sz w:val="18"/>
          <w:szCs w:val="20"/>
        </w:rPr>
      </w:pPr>
    </w:p>
    <w:p w14:paraId="09354765">
      <w:pPr>
        <w:spacing w:before="93" w:after="93"/>
        <w:ind w:left="420" w:leftChars="200"/>
        <w:rPr>
          <w:sz w:val="21"/>
          <w:szCs w:val="22"/>
        </w:rPr>
      </w:pPr>
      <w:r>
        <w:rPr>
          <w:sz w:val="21"/>
          <w:szCs w:val="22"/>
        </w:rPr>
        <w:t>i</w:t>
      </w:r>
      <w:r>
        <w:rPr>
          <w:rFonts w:hint="eastAsia"/>
          <w:sz w:val="21"/>
          <w:szCs w:val="22"/>
        </w:rPr>
        <w:t>. 风机和电动机应定位于一个公用底座，配有制造工厂提供的减震器。</w:t>
      </w:r>
    </w:p>
    <w:p w14:paraId="5B964D82">
      <w:pPr>
        <w:spacing w:before="93" w:after="93"/>
        <w:ind w:left="420" w:leftChars="200"/>
        <w:rPr>
          <w:sz w:val="21"/>
          <w:szCs w:val="22"/>
        </w:rPr>
      </w:pPr>
      <w:r>
        <w:rPr>
          <w:sz w:val="21"/>
          <w:szCs w:val="22"/>
        </w:rPr>
        <w:t>j</w:t>
      </w:r>
      <w:r>
        <w:rPr>
          <w:rFonts w:hint="eastAsia"/>
          <w:sz w:val="21"/>
          <w:szCs w:val="22"/>
        </w:rPr>
        <w:t>. 弹簧减振装置应设有消声垫及找平螺栓，并且应该是独立而稳定的。</w:t>
      </w:r>
    </w:p>
    <w:p w14:paraId="63A0AA55">
      <w:pPr>
        <w:spacing w:before="93" w:after="93"/>
        <w:ind w:left="420" w:leftChars="200"/>
        <w:rPr>
          <w:sz w:val="21"/>
          <w:szCs w:val="22"/>
        </w:rPr>
      </w:pPr>
      <w:r>
        <w:rPr>
          <w:sz w:val="21"/>
          <w:szCs w:val="22"/>
        </w:rPr>
        <w:t>K</w:t>
      </w:r>
      <w:r>
        <w:rPr>
          <w:rFonts w:hint="eastAsia"/>
          <w:sz w:val="21"/>
          <w:szCs w:val="22"/>
        </w:rPr>
        <w:t>．</w:t>
      </w:r>
      <w:r>
        <w:rPr>
          <w:sz w:val="21"/>
          <w:szCs w:val="22"/>
        </w:rPr>
        <w:t>风机变频器为知名品牌</w:t>
      </w:r>
      <w:r>
        <w:rPr>
          <w:rFonts w:hint="eastAsia"/>
          <w:sz w:val="21"/>
          <w:szCs w:val="22"/>
        </w:rPr>
        <w:t>。(ABB\施耐德)</w:t>
      </w:r>
    </w:p>
    <w:p w14:paraId="04BE017E">
      <w:pPr>
        <w:spacing w:before="93" w:after="93"/>
        <w:rPr>
          <w:sz w:val="21"/>
          <w:szCs w:val="22"/>
        </w:rPr>
      </w:pPr>
      <w:r>
        <w:rPr>
          <w:rFonts w:hint="eastAsia"/>
          <w:sz w:val="21"/>
          <w:szCs w:val="22"/>
        </w:rPr>
        <w:t>（8）制冷剂管路系统</w:t>
      </w:r>
    </w:p>
    <w:p w14:paraId="5A03E3B1">
      <w:pPr>
        <w:spacing w:before="93" w:after="93"/>
        <w:ind w:left="420" w:leftChars="200"/>
        <w:rPr>
          <w:sz w:val="21"/>
          <w:szCs w:val="22"/>
        </w:rPr>
      </w:pPr>
      <w:r>
        <w:rPr>
          <w:rFonts w:hint="eastAsia"/>
          <w:sz w:val="21"/>
          <w:szCs w:val="22"/>
        </w:rPr>
        <w:t>a. 机组应配置由工厂配套安装的机组内部所有部件之间的冷剂管道。内机与外机间的线缆及铜管由设备厂家提出要求，由施工单位进行采购及施工。</w:t>
      </w:r>
    </w:p>
    <w:p w14:paraId="7244DC1D">
      <w:pPr>
        <w:spacing w:before="93" w:after="93"/>
        <w:ind w:left="420" w:leftChars="200"/>
        <w:rPr>
          <w:sz w:val="21"/>
          <w:szCs w:val="22"/>
        </w:rPr>
      </w:pPr>
      <w:r>
        <w:rPr>
          <w:rFonts w:hint="eastAsia"/>
          <w:sz w:val="21"/>
          <w:szCs w:val="22"/>
        </w:rPr>
        <w:t xml:space="preserve">b. 每台压缩机应有各自独立的制冷剂管路系统。  </w:t>
      </w:r>
    </w:p>
    <w:p w14:paraId="16F00C49">
      <w:pPr>
        <w:spacing w:before="93" w:after="93"/>
        <w:ind w:left="420" w:leftChars="200"/>
        <w:rPr>
          <w:sz w:val="21"/>
          <w:szCs w:val="22"/>
        </w:rPr>
      </w:pPr>
      <w:r>
        <w:rPr>
          <w:rFonts w:hint="eastAsia"/>
          <w:sz w:val="21"/>
          <w:szCs w:val="22"/>
        </w:rPr>
        <w:t>c.制冷系统中依据需求设置单向阀、油分，储液罐等.</w:t>
      </w:r>
      <w:r>
        <w:rPr>
          <w:rFonts w:hint="eastAsia"/>
          <w:color w:val="FF0000"/>
          <w:sz w:val="21"/>
          <w:szCs w:val="22"/>
        </w:rPr>
        <w:t xml:space="preserve"> </w:t>
      </w:r>
      <w:r>
        <w:rPr>
          <w:rFonts w:hint="eastAsia"/>
          <w:sz w:val="21"/>
          <w:szCs w:val="22"/>
        </w:rPr>
        <w:t>不接受在机组以外安装除铜管、电缆以外的任何阀件等;不接受设备出厂后在设备内部做任何阀件等增减。</w:t>
      </w:r>
    </w:p>
    <w:p w14:paraId="6DE0E4DD">
      <w:pPr>
        <w:spacing w:before="93" w:after="93"/>
        <w:rPr>
          <w:rFonts w:hint="eastAsia"/>
          <w:sz w:val="21"/>
          <w:szCs w:val="22"/>
        </w:rPr>
      </w:pPr>
      <w:r>
        <w:rPr>
          <w:rFonts w:hint="eastAsia"/>
          <w:sz w:val="21"/>
          <w:szCs w:val="22"/>
        </w:rPr>
        <w:t>（9）空气过滤器</w:t>
      </w:r>
    </w:p>
    <w:p w14:paraId="03961CFA">
      <w:pPr>
        <w:spacing w:before="93" w:after="93"/>
        <w:ind w:left="420" w:leftChars="200"/>
        <w:rPr>
          <w:rFonts w:hint="eastAsia"/>
          <w:sz w:val="21"/>
          <w:szCs w:val="22"/>
        </w:rPr>
      </w:pPr>
      <w:r>
        <w:rPr>
          <w:rFonts w:hint="eastAsia"/>
          <w:sz w:val="21"/>
          <w:szCs w:val="22"/>
        </w:rPr>
        <w:t>采用 V 型 18”抽屉模块式过滤器，不应采用板式结构</w:t>
      </w:r>
      <w:r>
        <w:rPr>
          <w:rFonts w:hint="eastAsia"/>
          <w:sz w:val="21"/>
          <w:szCs w:val="22"/>
          <w:lang w:eastAsia="zh-CN"/>
        </w:rPr>
        <w:t>，</w:t>
      </w:r>
      <w:r>
        <w:rPr>
          <w:rFonts w:hint="eastAsia"/>
          <w:sz w:val="21"/>
          <w:szCs w:val="22"/>
        </w:rPr>
        <w:t>简易滑轨安装，免工具维护。</w:t>
      </w:r>
    </w:p>
    <w:p w14:paraId="2D9FC05C">
      <w:pPr>
        <w:spacing w:before="93" w:after="93"/>
        <w:ind w:left="420" w:leftChars="200"/>
        <w:rPr>
          <w:rFonts w:hint="eastAsia"/>
          <w:sz w:val="21"/>
          <w:szCs w:val="22"/>
        </w:rPr>
      </w:pPr>
      <w:r>
        <w:rPr>
          <w:rFonts w:hint="eastAsia"/>
          <w:sz w:val="21"/>
          <w:szCs w:val="22"/>
          <w:lang w:val="en-US" w:eastAsia="zh-CN"/>
        </w:rPr>
        <w:t>a.</w:t>
      </w:r>
      <w:r>
        <w:rPr>
          <w:rFonts w:hint="eastAsia"/>
          <w:sz w:val="21"/>
          <w:szCs w:val="22"/>
        </w:rPr>
        <w:t>初效过滤器为板式结构，采用进口的聚酯合成纤维滤料，过滤效率为大气尘计 数效率≥80%  (≥5 μm）（G4）的预过滤器，包括一个完整的框架和过滤器组 件。初阻力不大于 50Pa。</w:t>
      </w:r>
    </w:p>
    <w:p w14:paraId="5B0961E3">
      <w:pPr>
        <w:spacing w:before="93" w:after="93"/>
        <w:ind w:left="420" w:leftChars="200"/>
        <w:rPr>
          <w:rFonts w:hint="eastAsia"/>
          <w:sz w:val="21"/>
          <w:szCs w:val="22"/>
        </w:rPr>
      </w:pPr>
      <w:r>
        <w:rPr>
          <w:rFonts w:hint="eastAsia"/>
          <w:sz w:val="21"/>
          <w:szCs w:val="22"/>
        </w:rPr>
        <w:t xml:space="preserve"> b.中效过滤：F7等级中效袋式过滤器，尘粒≥</w:t>
      </w:r>
      <w:r>
        <w:rPr>
          <w:rFonts w:hint="eastAsia"/>
          <w:sz w:val="21"/>
          <w:szCs w:val="22"/>
          <w:lang w:val="en-US" w:eastAsia="zh-CN"/>
        </w:rPr>
        <w:t>1</w:t>
      </w:r>
      <w:r>
        <w:rPr>
          <w:rFonts w:hint="eastAsia"/>
          <w:sz w:val="21"/>
          <w:szCs w:val="22"/>
        </w:rPr>
        <w:t>µm时，过滤效率不小于8</w:t>
      </w:r>
      <w:r>
        <w:rPr>
          <w:rFonts w:hint="eastAsia"/>
          <w:sz w:val="21"/>
          <w:szCs w:val="22"/>
          <w:lang w:val="en-US" w:eastAsia="zh-CN"/>
        </w:rPr>
        <w:t>0</w:t>
      </w:r>
      <w:r>
        <w:rPr>
          <w:rFonts w:hint="eastAsia"/>
          <w:sz w:val="21"/>
          <w:szCs w:val="22"/>
        </w:rPr>
        <w:t>%；</w:t>
      </w:r>
    </w:p>
    <w:p w14:paraId="56C06EF7">
      <w:pPr>
        <w:spacing w:before="93" w:after="93"/>
        <w:ind w:left="420" w:leftChars="200"/>
        <w:rPr>
          <w:rFonts w:hint="eastAsia"/>
          <w:sz w:val="21"/>
          <w:szCs w:val="22"/>
        </w:rPr>
      </w:pPr>
      <w:r>
        <w:rPr>
          <w:rFonts w:hint="eastAsia"/>
          <w:sz w:val="21"/>
          <w:szCs w:val="22"/>
        </w:rPr>
        <w:t>包括一个完整的框架和过滤器组件。过滤器的框架按滤料朝前面装载布置，适用于宽度是 610mm 的介质。</w:t>
      </w:r>
    </w:p>
    <w:p w14:paraId="562084F1">
      <w:pPr>
        <w:spacing w:before="93" w:after="93"/>
        <w:ind w:left="420" w:leftChars="200"/>
        <w:rPr>
          <w:rFonts w:hint="eastAsia"/>
          <w:sz w:val="21"/>
          <w:szCs w:val="22"/>
        </w:rPr>
      </w:pPr>
      <w:r>
        <w:rPr>
          <w:rFonts w:hint="eastAsia"/>
          <w:sz w:val="21"/>
          <w:szCs w:val="22"/>
          <w:lang w:val="en-US" w:eastAsia="zh-CN"/>
        </w:rPr>
        <w:t>c.</w:t>
      </w:r>
      <w:r>
        <w:rPr>
          <w:rFonts w:hint="eastAsia"/>
          <w:sz w:val="21"/>
          <w:szCs w:val="22"/>
        </w:rPr>
        <w:t>过滤器迎面工作风速上限不小于 5 米/秒，平均风速 2.5 米/秒下，阻降不高于 100Pa.</w:t>
      </w:r>
    </w:p>
    <w:p w14:paraId="6951C990">
      <w:pPr>
        <w:spacing w:before="93" w:after="93"/>
        <w:ind w:firstLine="210" w:firstLineChars="100"/>
        <w:rPr>
          <w:sz w:val="21"/>
          <w:szCs w:val="22"/>
        </w:rPr>
      </w:pPr>
      <w:r>
        <w:rPr>
          <w:rFonts w:hint="eastAsia"/>
          <w:sz w:val="21"/>
          <w:szCs w:val="22"/>
        </w:rPr>
        <w:t>(1</w:t>
      </w:r>
      <w:r>
        <w:rPr>
          <w:rFonts w:hint="eastAsia"/>
          <w:sz w:val="21"/>
          <w:szCs w:val="22"/>
          <w:lang w:val="en-US" w:eastAsia="zh-CN"/>
        </w:rPr>
        <w:t>0</w:t>
      </w:r>
      <w:r>
        <w:rPr>
          <w:rFonts w:hint="eastAsia"/>
          <w:sz w:val="21"/>
          <w:szCs w:val="22"/>
        </w:rPr>
        <w:t>)</w:t>
      </w:r>
      <w:r>
        <w:rPr>
          <w:rFonts w:hint="eastAsia"/>
          <w:sz w:val="21"/>
          <w:szCs w:val="22"/>
          <w:lang w:val="en-US" w:eastAsia="zh-CN"/>
        </w:rPr>
        <w:t xml:space="preserve"> </w:t>
      </w:r>
      <w:r>
        <w:rPr>
          <w:rFonts w:hint="eastAsia"/>
          <w:sz w:val="21"/>
          <w:szCs w:val="22"/>
        </w:rPr>
        <w:t>仪表及其控制</w:t>
      </w:r>
    </w:p>
    <w:p w14:paraId="604FFA43">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lang w:eastAsia="zh-CN"/>
        </w:rPr>
        <w:t>投标人</w:t>
      </w:r>
      <w:r>
        <w:rPr>
          <w:rFonts w:hint="eastAsia" w:asciiTheme="minorEastAsia" w:hAnsiTheme="minorEastAsia"/>
          <w:sz w:val="21"/>
          <w:szCs w:val="21"/>
        </w:rPr>
        <w:t>应对机组所有电气及控制性能负责，并负责机组内部统一、合理的接线及接管。</w:t>
      </w:r>
    </w:p>
    <w:p w14:paraId="239436BB">
      <w:pPr>
        <w:pStyle w:val="40"/>
        <w:numPr>
          <w:ilvl w:val="0"/>
          <w:numId w:val="8"/>
        </w:numPr>
        <w:spacing w:before="93" w:after="93" w:line="360" w:lineRule="auto"/>
        <w:ind w:firstLineChars="0"/>
        <w:rPr>
          <w:rFonts w:asciiTheme="minorEastAsia" w:hAnsiTheme="minorEastAsia"/>
          <w:sz w:val="21"/>
          <w:szCs w:val="21"/>
        </w:rPr>
      </w:pPr>
      <w:r>
        <w:rPr>
          <w:rFonts w:asciiTheme="minorEastAsia" w:hAnsiTheme="minorEastAsia"/>
          <w:sz w:val="21"/>
          <w:szCs w:val="21"/>
        </w:rPr>
        <w:t>控制柜负责机组的各个部件的供电（压缩机、</w:t>
      </w:r>
      <w:r>
        <w:rPr>
          <w:rFonts w:hint="eastAsia" w:asciiTheme="minorEastAsia" w:hAnsiTheme="minorEastAsia"/>
          <w:sz w:val="21"/>
          <w:szCs w:val="21"/>
        </w:rPr>
        <w:t>风机</w:t>
      </w:r>
      <w:r>
        <w:rPr>
          <w:rFonts w:asciiTheme="minorEastAsia" w:hAnsiTheme="minorEastAsia"/>
          <w:sz w:val="21"/>
          <w:szCs w:val="21"/>
        </w:rPr>
        <w:t>变频器、</w:t>
      </w:r>
      <w:r>
        <w:rPr>
          <w:rFonts w:hint="eastAsia" w:asciiTheme="minorEastAsia" w:hAnsiTheme="minorEastAsia"/>
          <w:sz w:val="21"/>
          <w:szCs w:val="21"/>
        </w:rPr>
        <w:t>分机</w:t>
      </w:r>
      <w:r>
        <w:rPr>
          <w:rFonts w:asciiTheme="minorEastAsia" w:hAnsiTheme="minorEastAsia"/>
          <w:sz w:val="21"/>
          <w:szCs w:val="21"/>
        </w:rPr>
        <w:t>、</w:t>
      </w:r>
      <w:r>
        <w:rPr>
          <w:rFonts w:hint="eastAsia" w:asciiTheme="minorEastAsia" w:hAnsiTheme="minorEastAsia"/>
          <w:sz w:val="21"/>
          <w:szCs w:val="21"/>
        </w:rPr>
        <w:t>检修灯</w:t>
      </w:r>
      <w:r>
        <w:rPr>
          <w:rFonts w:asciiTheme="minorEastAsia" w:hAnsiTheme="minorEastAsia"/>
          <w:sz w:val="21"/>
          <w:szCs w:val="21"/>
        </w:rPr>
        <w:t>、控制面板</w:t>
      </w:r>
      <w:r>
        <w:rPr>
          <w:rFonts w:hint="eastAsia" w:asciiTheme="minorEastAsia" w:hAnsiTheme="minorEastAsia"/>
          <w:sz w:val="21"/>
          <w:szCs w:val="21"/>
        </w:rPr>
        <w:t>等</w:t>
      </w:r>
      <w:r>
        <w:rPr>
          <w:rFonts w:asciiTheme="minorEastAsia" w:hAnsiTheme="minorEastAsia"/>
          <w:sz w:val="21"/>
          <w:szCs w:val="21"/>
        </w:rPr>
        <w:t>）及机组的控制。</w:t>
      </w:r>
    </w:p>
    <w:p w14:paraId="444406FF">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机组的指示灯、运行操作开关、机组性能监测表应设在机组正面面板上。</w:t>
      </w:r>
    </w:p>
    <w:p w14:paraId="781B5959">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lang w:eastAsia="zh-CN"/>
        </w:rPr>
        <w:t>投标人</w:t>
      </w:r>
      <w:r>
        <w:rPr>
          <w:rFonts w:hint="eastAsia" w:asciiTheme="minorEastAsia" w:hAnsiTheme="minorEastAsia"/>
          <w:sz w:val="21"/>
          <w:szCs w:val="21"/>
        </w:rPr>
        <w:t>应每台空调机提供一面带触摸液晶屏的</w:t>
      </w:r>
      <w:r>
        <w:rPr>
          <w:rFonts w:hint="eastAsia" w:asciiTheme="minorEastAsia" w:hAnsiTheme="minorEastAsia"/>
          <w:color w:val="0000FF"/>
          <w:sz w:val="21"/>
          <w:szCs w:val="21"/>
        </w:rPr>
        <w:t>操作显示器</w:t>
      </w:r>
      <w:r>
        <w:rPr>
          <w:rFonts w:asciiTheme="minorEastAsia" w:hAnsiTheme="minorEastAsia"/>
          <w:sz w:val="21"/>
          <w:szCs w:val="21"/>
        </w:rPr>
        <w:t>。</w:t>
      </w:r>
    </w:p>
    <w:p w14:paraId="3EE5FBE2">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空气过滤器需压差报警。</w:t>
      </w:r>
    </w:p>
    <w:p w14:paraId="7AE213F7">
      <w:pPr>
        <w:pStyle w:val="40"/>
        <w:numPr>
          <w:ilvl w:val="0"/>
          <w:numId w:val="8"/>
        </w:numPr>
        <w:spacing w:before="93" w:after="93" w:line="360" w:lineRule="auto"/>
        <w:ind w:firstLineChars="0"/>
        <w:rPr>
          <w:rFonts w:asciiTheme="minorEastAsia" w:hAnsiTheme="minorEastAsia"/>
          <w:sz w:val="21"/>
          <w:szCs w:val="21"/>
        </w:rPr>
      </w:pPr>
      <w:r>
        <w:rPr>
          <w:rFonts w:asciiTheme="minorEastAsia" w:hAnsiTheme="minorEastAsia"/>
          <w:sz w:val="21"/>
          <w:szCs w:val="21"/>
        </w:rPr>
        <w:t>能在控制面板上面手动设置风机的运行频率。</w:t>
      </w:r>
    </w:p>
    <w:p w14:paraId="383824C2">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机组采用PLC或DDC控制。</w:t>
      </w:r>
    </w:p>
    <w:p w14:paraId="100AE8BB">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机组应配套提供温度、压力传感器，接入机组配套提供的就地控制箱，以自动控制压缩机的启停及及冷/热量的调节。</w:t>
      </w:r>
    </w:p>
    <w:p w14:paraId="62F20204">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机组正面面板上的、操作显示板上应有但不限于以下内容：</w:t>
      </w:r>
    </w:p>
    <w:p w14:paraId="0FC5CB42">
      <w:pPr>
        <w:pStyle w:val="40"/>
        <w:numPr>
          <w:ilvl w:val="1"/>
          <w:numId w:val="9"/>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机组的开、关按钮及显示灯。</w:t>
      </w:r>
    </w:p>
    <w:p w14:paraId="233445BF">
      <w:pPr>
        <w:pStyle w:val="40"/>
        <w:numPr>
          <w:ilvl w:val="1"/>
          <w:numId w:val="9"/>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故障报警指示灯</w:t>
      </w:r>
    </w:p>
    <w:p w14:paraId="2E033757">
      <w:pPr>
        <w:pStyle w:val="40"/>
        <w:numPr>
          <w:ilvl w:val="1"/>
          <w:numId w:val="9"/>
        </w:numPr>
        <w:spacing w:before="93" w:after="93" w:line="360" w:lineRule="auto"/>
        <w:ind w:firstLineChars="0"/>
        <w:rPr>
          <w:rFonts w:asciiTheme="minorEastAsia" w:hAnsiTheme="minorEastAsia"/>
          <w:sz w:val="21"/>
          <w:szCs w:val="21"/>
        </w:rPr>
      </w:pPr>
      <w:r>
        <w:rPr>
          <w:rFonts w:asciiTheme="minorEastAsia" w:hAnsiTheme="minorEastAsia"/>
          <w:sz w:val="21"/>
          <w:szCs w:val="21"/>
        </w:rPr>
        <w:t>机组送风温度的设定。</w:t>
      </w:r>
    </w:p>
    <w:p w14:paraId="04C532A4">
      <w:pPr>
        <w:pStyle w:val="40"/>
        <w:numPr>
          <w:ilvl w:val="1"/>
          <w:numId w:val="9"/>
        </w:numPr>
        <w:spacing w:before="93" w:after="93" w:line="360" w:lineRule="auto"/>
        <w:ind w:firstLineChars="0"/>
        <w:rPr>
          <w:rFonts w:asciiTheme="minorEastAsia" w:hAnsiTheme="minorEastAsia"/>
          <w:sz w:val="21"/>
          <w:szCs w:val="21"/>
        </w:rPr>
      </w:pPr>
      <w:r>
        <w:rPr>
          <w:rFonts w:asciiTheme="minorEastAsia" w:hAnsiTheme="minorEastAsia"/>
          <w:sz w:val="21"/>
          <w:szCs w:val="21"/>
        </w:rPr>
        <w:t>显示风机的工作频率。</w:t>
      </w:r>
    </w:p>
    <w:p w14:paraId="3E87367F">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新风机组控制器应具有</w:t>
      </w:r>
      <w:r>
        <w:rPr>
          <w:rFonts w:hint="eastAsia"/>
          <w:sz w:val="21"/>
          <w:szCs w:val="22"/>
        </w:rPr>
        <w:t>提供RS485接口及标准Modbus-RTU协议。</w:t>
      </w:r>
      <w:r>
        <w:rPr>
          <w:rFonts w:hint="eastAsia" w:asciiTheme="minorEastAsia" w:hAnsiTheme="minorEastAsia"/>
          <w:sz w:val="21"/>
          <w:szCs w:val="21"/>
        </w:rPr>
        <w:t>实现监控机组运行转台，远程告警及查询和远程故障简单处理，上传机组具有的所有信息包括但不限于新风机组的运行状态；故障状态；压差告警状态；防冻开关状态；送回风温湿度实时及设定值；风机变频器的频率等。</w:t>
      </w:r>
    </w:p>
    <w:p w14:paraId="75A9D80F">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机组需配置必要的控制箱，控制箱应与室内设备一体化。需要监视、报警、设定等的参数应高于或多于厂商同类产品设备的标准配置。</w:t>
      </w:r>
    </w:p>
    <w:p w14:paraId="49AF3404">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新风机组新风入口设有电动风阀，该风阀与新风机组连锁；新风机组配置与其连锁的相关装置。新风机组需自带室外温湿度传感器，并在机组控制器中显示。</w:t>
      </w:r>
    </w:p>
    <w:p w14:paraId="1FD5A6F5">
      <w:pPr>
        <w:pStyle w:val="40"/>
        <w:numPr>
          <w:ilvl w:val="0"/>
          <w:numId w:val="8"/>
        </w:numPr>
        <w:spacing w:before="93" w:after="93" w:line="360" w:lineRule="auto"/>
        <w:ind w:firstLineChars="0"/>
        <w:rPr>
          <w:rFonts w:asciiTheme="minorEastAsia" w:hAnsiTheme="minorEastAsia"/>
          <w:sz w:val="21"/>
          <w:szCs w:val="21"/>
        </w:rPr>
      </w:pPr>
      <w:r>
        <w:rPr>
          <w:rFonts w:hint="eastAsia" w:asciiTheme="minorEastAsia" w:hAnsiTheme="minorEastAsia"/>
          <w:sz w:val="21"/>
          <w:szCs w:val="21"/>
        </w:rPr>
        <w:t>新风机组初中、效过滤器分别设压差测量报警装置，具有进风温、湿度测量显示上传功能。</w:t>
      </w:r>
    </w:p>
    <w:p w14:paraId="55977AC9">
      <w:pPr>
        <w:pStyle w:val="2"/>
        <w:numPr>
          <w:ilvl w:val="0"/>
          <w:numId w:val="0"/>
        </w:numPr>
        <w:ind w:left="-1" w:leftChars="-138" w:hanging="289" w:hangingChars="96"/>
      </w:pPr>
      <w:bookmarkStart w:id="5" w:name="_Toc432782285"/>
      <w:r>
        <w:t>附件</w:t>
      </w:r>
      <w:r>
        <w:rPr>
          <w:rFonts w:hint="eastAsia"/>
        </w:rPr>
        <w:t>：</w:t>
      </w:r>
      <w:r>
        <w:t>采购设备清单</w:t>
      </w:r>
      <w:bookmarkEnd w:id="5"/>
    </w:p>
    <w:p w14:paraId="6504FBB6">
      <w:pPr>
        <w:pStyle w:val="6"/>
        <w:numPr>
          <w:ilvl w:val="0"/>
          <w:numId w:val="0"/>
        </w:numPr>
        <w:spacing w:before="93" w:beforeAutospacing="1" w:after="93" w:line="360" w:lineRule="auto"/>
        <w:ind w:left="1665" w:leftChars="793" w:firstLine="178"/>
        <w:rPr>
          <w:b w:val="0"/>
          <w:szCs w:val="24"/>
        </w:rPr>
      </w:pPr>
      <w:r>
        <w:rPr>
          <w:rFonts w:hint="eastAsia"/>
          <w:sz w:val="24"/>
          <w:szCs w:val="24"/>
        </w:rPr>
        <w:t xml:space="preserve"> </w:t>
      </w:r>
      <w:r>
        <w:rPr>
          <w:rFonts w:hint="eastAsia"/>
          <w:b w:val="0"/>
          <w:sz w:val="24"/>
          <w:szCs w:val="22"/>
        </w:rPr>
        <w:t>新风机组主要设备规格性能表</w:t>
      </w:r>
    </w:p>
    <w:tbl>
      <w:tblPr>
        <w:tblStyle w:val="22"/>
        <w:tblpPr w:leftFromText="180" w:rightFromText="180" w:vertAnchor="text" w:horzAnchor="margin" w:tblpY="32"/>
        <w:tblW w:w="7929"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30"/>
        <w:gridCol w:w="3009"/>
        <w:gridCol w:w="850"/>
        <w:gridCol w:w="851"/>
        <w:gridCol w:w="2089"/>
      </w:tblGrid>
      <w:tr w14:paraId="085066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0" w:hRule="atLeast"/>
        </w:trPr>
        <w:tc>
          <w:tcPr>
            <w:tcW w:w="1130" w:type="dxa"/>
            <w:shd w:val="clear" w:color="auto" w:fill="auto"/>
            <w:vAlign w:val="center"/>
          </w:tcPr>
          <w:p w14:paraId="32E24B68">
            <w:pPr>
              <w:widowControl/>
              <w:spacing w:before="93" w:after="93" w:line="240" w:lineRule="exact"/>
              <w:rPr>
                <w:rFonts w:ascii="宋体" w:hAnsi="宋体" w:cs="宋体"/>
                <w:color w:val="000000"/>
                <w:kern w:val="0"/>
                <w:sz w:val="20"/>
                <w:szCs w:val="20"/>
              </w:rPr>
            </w:pPr>
            <w:r>
              <w:rPr>
                <w:rFonts w:hint="eastAsia" w:ascii="宋体" w:hAnsi="宋体" w:cs="宋体"/>
                <w:color w:val="000000"/>
                <w:kern w:val="0"/>
                <w:sz w:val="20"/>
                <w:szCs w:val="20"/>
              </w:rPr>
              <w:t>设备名称</w:t>
            </w:r>
          </w:p>
        </w:tc>
        <w:tc>
          <w:tcPr>
            <w:tcW w:w="3009" w:type="dxa"/>
            <w:shd w:val="clear" w:color="auto" w:fill="auto"/>
            <w:vAlign w:val="center"/>
          </w:tcPr>
          <w:p w14:paraId="459459E2">
            <w:pPr>
              <w:widowControl/>
              <w:spacing w:before="93" w:after="93" w:line="240" w:lineRule="exact"/>
              <w:ind w:firstLine="632" w:firstLineChars="316"/>
              <w:rPr>
                <w:rFonts w:ascii="宋体" w:hAnsi="宋体" w:cs="宋体"/>
                <w:color w:val="000000"/>
                <w:kern w:val="0"/>
                <w:sz w:val="20"/>
                <w:szCs w:val="20"/>
              </w:rPr>
            </w:pPr>
            <w:r>
              <w:rPr>
                <w:rFonts w:hint="eastAsia" w:ascii="宋体" w:hAnsi="宋体" w:cs="宋体"/>
                <w:color w:val="000000"/>
                <w:kern w:val="0"/>
                <w:sz w:val="20"/>
                <w:szCs w:val="20"/>
              </w:rPr>
              <w:t>规格性能</w:t>
            </w:r>
          </w:p>
        </w:tc>
        <w:tc>
          <w:tcPr>
            <w:tcW w:w="850" w:type="dxa"/>
            <w:shd w:val="clear" w:color="auto" w:fill="auto"/>
            <w:vAlign w:val="center"/>
          </w:tcPr>
          <w:p w14:paraId="2180DC52">
            <w:pPr>
              <w:widowControl/>
              <w:spacing w:before="93" w:after="93" w:line="240" w:lineRule="exact"/>
              <w:ind w:left="-15" w:leftChars="-119" w:hanging="235"/>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851" w:type="dxa"/>
            <w:shd w:val="clear" w:color="auto" w:fill="auto"/>
            <w:vAlign w:val="center"/>
          </w:tcPr>
          <w:p w14:paraId="02D6415E">
            <w:pPr>
              <w:widowControl/>
              <w:spacing w:before="93" w:after="93" w:line="240" w:lineRule="exact"/>
              <w:ind w:hanging="249"/>
              <w:jc w:val="center"/>
              <w:rPr>
                <w:rFonts w:ascii="宋体" w:hAnsi="宋体" w:cs="宋体"/>
                <w:color w:val="000000"/>
                <w:kern w:val="0"/>
                <w:sz w:val="20"/>
                <w:szCs w:val="20"/>
              </w:rPr>
            </w:pPr>
            <w:r>
              <w:rPr>
                <w:rFonts w:hint="eastAsia" w:ascii="宋体" w:hAnsi="宋体" w:cs="宋体"/>
                <w:color w:val="000000"/>
                <w:kern w:val="0"/>
                <w:sz w:val="20"/>
                <w:szCs w:val="20"/>
              </w:rPr>
              <w:t>数量</w:t>
            </w:r>
          </w:p>
        </w:tc>
        <w:tc>
          <w:tcPr>
            <w:tcW w:w="2089" w:type="dxa"/>
            <w:shd w:val="clear" w:color="auto" w:fill="auto"/>
            <w:vAlign w:val="center"/>
          </w:tcPr>
          <w:p w14:paraId="5F15E9FC">
            <w:pPr>
              <w:widowControl/>
              <w:spacing w:before="93" w:after="93" w:line="240" w:lineRule="exact"/>
              <w:ind w:hanging="108"/>
              <w:jc w:val="center"/>
              <w:rPr>
                <w:rFonts w:ascii="宋体" w:hAnsi="宋体" w:cs="宋体"/>
                <w:color w:val="000000"/>
                <w:kern w:val="0"/>
                <w:sz w:val="20"/>
                <w:szCs w:val="20"/>
              </w:rPr>
            </w:pPr>
            <w:r>
              <w:rPr>
                <w:rFonts w:hint="eastAsia" w:ascii="宋体" w:hAnsi="宋体" w:cs="宋体"/>
                <w:color w:val="000000"/>
                <w:kern w:val="0"/>
                <w:sz w:val="20"/>
                <w:szCs w:val="20"/>
              </w:rPr>
              <w:t>备注</w:t>
            </w:r>
          </w:p>
        </w:tc>
      </w:tr>
      <w:tr w14:paraId="7ADDCF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25" w:hRule="atLeast"/>
        </w:trPr>
        <w:tc>
          <w:tcPr>
            <w:tcW w:w="1130" w:type="dxa"/>
            <w:shd w:val="clear" w:color="auto" w:fill="auto"/>
            <w:vAlign w:val="center"/>
          </w:tcPr>
          <w:p w14:paraId="12E8D12E">
            <w:pPr>
              <w:widowControl/>
              <w:spacing w:before="93" w:after="93" w:line="240" w:lineRule="exact"/>
              <w:ind w:hanging="536"/>
              <w:rPr>
                <w:rFonts w:ascii="宋体" w:hAnsi="宋体" w:cs="宋体"/>
                <w:color w:val="000000"/>
                <w:kern w:val="0"/>
                <w:sz w:val="20"/>
                <w:szCs w:val="20"/>
              </w:rPr>
            </w:pPr>
          </w:p>
          <w:p w14:paraId="22452E9D">
            <w:pPr>
              <w:widowControl/>
              <w:spacing w:before="93" w:after="93" w:line="240" w:lineRule="exact"/>
              <w:ind w:hanging="536"/>
              <w:rPr>
                <w:rFonts w:ascii="宋体" w:hAnsi="宋体" w:cs="宋体"/>
                <w:color w:val="000000"/>
                <w:kern w:val="0"/>
                <w:sz w:val="20"/>
                <w:szCs w:val="20"/>
              </w:rPr>
            </w:pPr>
          </w:p>
          <w:p w14:paraId="65E9CBB4">
            <w:pPr>
              <w:widowControl/>
              <w:spacing w:before="93" w:after="93" w:line="240" w:lineRule="exact"/>
              <w:ind w:hanging="536"/>
              <w:rPr>
                <w:rFonts w:ascii="宋体" w:hAnsi="宋体" w:cs="宋体"/>
                <w:color w:val="000000"/>
                <w:kern w:val="0"/>
                <w:sz w:val="20"/>
                <w:szCs w:val="20"/>
              </w:rPr>
            </w:pPr>
          </w:p>
          <w:p w14:paraId="7CC0F791">
            <w:pPr>
              <w:widowControl/>
              <w:spacing w:before="93" w:after="93" w:line="240" w:lineRule="exact"/>
              <w:ind w:hanging="536"/>
              <w:rPr>
                <w:rFonts w:ascii="宋体" w:hAnsi="宋体" w:cs="宋体"/>
                <w:color w:val="000000"/>
                <w:kern w:val="0"/>
                <w:sz w:val="20"/>
                <w:szCs w:val="20"/>
              </w:rPr>
            </w:pPr>
          </w:p>
          <w:p w14:paraId="40DD3785">
            <w:pPr>
              <w:widowControl/>
              <w:spacing w:before="93" w:after="93" w:line="240" w:lineRule="exact"/>
              <w:ind w:hanging="536"/>
              <w:rPr>
                <w:rFonts w:ascii="宋体" w:hAnsi="宋体" w:cs="宋体"/>
                <w:color w:val="000000"/>
                <w:kern w:val="0"/>
                <w:sz w:val="20"/>
                <w:szCs w:val="20"/>
              </w:rPr>
            </w:pPr>
          </w:p>
          <w:p w14:paraId="73F34411">
            <w:pPr>
              <w:widowControl/>
              <w:spacing w:before="93" w:after="93" w:line="240" w:lineRule="exact"/>
              <w:ind w:hanging="536"/>
              <w:rPr>
                <w:rFonts w:ascii="宋体" w:hAnsi="宋体" w:cs="宋体"/>
                <w:color w:val="000000"/>
                <w:kern w:val="0"/>
                <w:sz w:val="20"/>
                <w:szCs w:val="20"/>
              </w:rPr>
            </w:pPr>
          </w:p>
          <w:p w14:paraId="50CCF5F7">
            <w:pPr>
              <w:widowControl/>
              <w:spacing w:before="93" w:after="93" w:line="240" w:lineRule="exact"/>
              <w:ind w:hanging="536"/>
              <w:rPr>
                <w:rFonts w:ascii="宋体" w:hAnsi="宋体" w:cs="宋体"/>
                <w:color w:val="000000"/>
                <w:kern w:val="0"/>
                <w:sz w:val="20"/>
                <w:szCs w:val="20"/>
              </w:rPr>
            </w:pPr>
          </w:p>
          <w:p w14:paraId="39811CEB">
            <w:pPr>
              <w:widowControl/>
              <w:spacing w:before="93" w:after="93" w:line="240" w:lineRule="exact"/>
              <w:ind w:left="-80" w:hanging="30"/>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rPr>
              <w:t>新风机组</w:t>
            </w:r>
            <w:r>
              <w:rPr>
                <w:rFonts w:hint="eastAsia" w:ascii="宋体" w:hAnsi="宋体" w:cs="宋体"/>
                <w:color w:val="000000"/>
                <w:kern w:val="0"/>
                <w:sz w:val="20"/>
                <w:szCs w:val="20"/>
                <w:lang w:val="en-US" w:eastAsia="zh-CN"/>
              </w:rPr>
              <w:t>1</w:t>
            </w:r>
          </w:p>
          <w:p w14:paraId="3840FB43">
            <w:pPr>
              <w:widowControl/>
              <w:spacing w:before="93" w:after="93" w:line="240" w:lineRule="exact"/>
              <w:ind w:hanging="536"/>
              <w:rPr>
                <w:rFonts w:ascii="宋体" w:hAnsi="宋体" w:cs="宋体"/>
                <w:color w:val="000000"/>
                <w:kern w:val="0"/>
                <w:sz w:val="20"/>
                <w:szCs w:val="20"/>
              </w:rPr>
            </w:pPr>
          </w:p>
          <w:p w14:paraId="12F7F52F">
            <w:pPr>
              <w:widowControl/>
              <w:spacing w:before="93" w:after="93" w:line="240" w:lineRule="exact"/>
              <w:ind w:hanging="536"/>
              <w:rPr>
                <w:rFonts w:ascii="宋体" w:hAnsi="宋体" w:cs="宋体"/>
                <w:color w:val="000000"/>
                <w:kern w:val="0"/>
                <w:sz w:val="20"/>
                <w:szCs w:val="20"/>
              </w:rPr>
            </w:pPr>
          </w:p>
          <w:p w14:paraId="3E536D4A">
            <w:pPr>
              <w:widowControl/>
              <w:spacing w:before="93" w:after="93" w:line="240" w:lineRule="exact"/>
              <w:ind w:hanging="536"/>
              <w:rPr>
                <w:rFonts w:ascii="宋体" w:hAnsi="宋体" w:cs="宋体"/>
                <w:color w:val="000000"/>
                <w:kern w:val="0"/>
                <w:sz w:val="20"/>
                <w:szCs w:val="20"/>
              </w:rPr>
            </w:pPr>
          </w:p>
          <w:p w14:paraId="1009BF37">
            <w:pPr>
              <w:widowControl/>
              <w:spacing w:before="93" w:after="93" w:line="240" w:lineRule="exact"/>
              <w:ind w:hanging="536"/>
              <w:rPr>
                <w:rFonts w:ascii="宋体" w:hAnsi="宋体" w:cs="宋体"/>
                <w:color w:val="000000"/>
                <w:kern w:val="0"/>
                <w:sz w:val="20"/>
                <w:szCs w:val="20"/>
              </w:rPr>
            </w:pPr>
          </w:p>
          <w:p w14:paraId="2581ABD7">
            <w:pPr>
              <w:widowControl/>
              <w:spacing w:before="93" w:after="93" w:line="240" w:lineRule="exact"/>
              <w:ind w:hanging="536"/>
              <w:rPr>
                <w:rFonts w:ascii="宋体" w:hAnsi="宋体" w:cs="宋体"/>
                <w:color w:val="000000"/>
                <w:kern w:val="0"/>
                <w:sz w:val="20"/>
                <w:szCs w:val="20"/>
              </w:rPr>
            </w:pPr>
          </w:p>
          <w:p w14:paraId="562C0B77">
            <w:pPr>
              <w:widowControl/>
              <w:spacing w:before="93" w:after="93" w:line="240" w:lineRule="exact"/>
              <w:ind w:hanging="536"/>
              <w:rPr>
                <w:rFonts w:ascii="宋体" w:hAnsi="宋体" w:cs="宋体"/>
                <w:color w:val="000000"/>
                <w:kern w:val="0"/>
                <w:sz w:val="20"/>
                <w:szCs w:val="20"/>
              </w:rPr>
            </w:pPr>
          </w:p>
        </w:tc>
        <w:tc>
          <w:tcPr>
            <w:tcW w:w="3009" w:type="dxa"/>
            <w:shd w:val="clear" w:color="auto" w:fill="auto"/>
            <w:vAlign w:val="center"/>
          </w:tcPr>
          <w:p w14:paraId="51E9A969">
            <w:pPr>
              <w:widowControl/>
              <w:spacing w:before="93" w:after="93" w:line="240" w:lineRule="exact"/>
              <w:rPr>
                <w:rFonts w:ascii="宋体" w:hAnsi="宋体" w:cs="宋体"/>
                <w:color w:val="000000"/>
                <w:kern w:val="0"/>
                <w:sz w:val="20"/>
                <w:szCs w:val="20"/>
              </w:rPr>
            </w:pPr>
          </w:p>
          <w:p w14:paraId="5C05043A">
            <w:pPr>
              <w:widowControl/>
              <w:spacing w:before="93" w:after="93" w:line="240" w:lineRule="exact"/>
              <w:ind w:firstLine="66"/>
              <w:rPr>
                <w:rFonts w:ascii="宋体" w:hAnsi="宋体" w:cs="宋体"/>
                <w:color w:val="000000"/>
                <w:kern w:val="0"/>
                <w:sz w:val="20"/>
                <w:szCs w:val="20"/>
              </w:rPr>
            </w:pPr>
            <w:r>
              <w:rPr>
                <w:rFonts w:hint="eastAsia" w:ascii="宋体" w:hAnsi="宋体" w:cs="宋体"/>
                <w:color w:val="000000"/>
                <w:kern w:val="0"/>
                <w:sz w:val="20"/>
                <w:szCs w:val="20"/>
              </w:rPr>
              <w:t>额定新风量：</w:t>
            </w:r>
            <w:r>
              <w:rPr>
                <w:rFonts w:hint="eastAsia" w:ascii="宋体" w:hAnsi="宋体" w:cs="宋体"/>
                <w:color w:val="000000"/>
                <w:kern w:val="0"/>
                <w:sz w:val="20"/>
                <w:szCs w:val="20"/>
                <w:lang w:val="en-US" w:eastAsia="zh-CN"/>
              </w:rPr>
              <w:t>6</w:t>
            </w:r>
            <w:r>
              <w:rPr>
                <w:rFonts w:hint="eastAsia" w:ascii="宋体" w:hAnsi="宋体" w:cs="宋体"/>
                <w:color w:val="000000"/>
                <w:kern w:val="0"/>
                <w:sz w:val="20"/>
                <w:szCs w:val="20"/>
              </w:rPr>
              <w:t>000m3/h</w:t>
            </w:r>
          </w:p>
          <w:p w14:paraId="40F9B3F7">
            <w:pPr>
              <w:widowControl/>
              <w:spacing w:before="93" w:after="93" w:line="240" w:lineRule="exact"/>
              <w:ind w:firstLine="66"/>
              <w:rPr>
                <w:rFonts w:ascii="宋体" w:hAnsi="宋体" w:cs="宋体"/>
                <w:color w:val="000000"/>
                <w:kern w:val="0"/>
                <w:sz w:val="20"/>
                <w:szCs w:val="20"/>
              </w:rPr>
            </w:pPr>
            <w:r>
              <w:rPr>
                <w:rFonts w:hint="eastAsia" w:ascii="宋体" w:hAnsi="宋体" w:cs="宋体"/>
                <w:color w:val="000000"/>
                <w:kern w:val="0"/>
                <w:sz w:val="20"/>
                <w:szCs w:val="20"/>
              </w:rPr>
              <w:t>制冷量：≥</w:t>
            </w:r>
            <w:r>
              <w:rPr>
                <w:rFonts w:hint="eastAsia" w:ascii="宋体" w:hAnsi="宋体" w:cs="宋体"/>
                <w:color w:val="000000"/>
                <w:kern w:val="0"/>
                <w:sz w:val="20"/>
                <w:szCs w:val="20"/>
                <w:lang w:val="en-US" w:eastAsia="zh-CN"/>
              </w:rPr>
              <w:t>72</w:t>
            </w:r>
            <w:r>
              <w:rPr>
                <w:rFonts w:hint="eastAsia" w:ascii="宋体" w:hAnsi="宋体" w:cs="宋体"/>
                <w:color w:val="000000"/>
                <w:kern w:val="0"/>
                <w:sz w:val="20"/>
                <w:szCs w:val="20"/>
              </w:rPr>
              <w:t>kw</w:t>
            </w:r>
          </w:p>
          <w:p w14:paraId="5AA2186B">
            <w:pPr>
              <w:widowControl/>
              <w:spacing w:before="93" w:after="93" w:line="240" w:lineRule="exact"/>
              <w:ind w:firstLine="66"/>
              <w:rPr>
                <w:rFonts w:ascii="宋体" w:hAnsi="宋体" w:cs="宋体"/>
                <w:color w:val="000000"/>
                <w:kern w:val="0"/>
                <w:sz w:val="20"/>
                <w:szCs w:val="20"/>
              </w:rPr>
            </w:pPr>
            <w:r>
              <w:rPr>
                <w:rFonts w:hint="eastAsia" w:ascii="宋体" w:hAnsi="宋体" w:cs="宋体"/>
                <w:color w:val="000000"/>
                <w:kern w:val="0"/>
                <w:sz w:val="20"/>
                <w:szCs w:val="20"/>
              </w:rPr>
              <w:t>进口干湿球温度：33.5/2</w:t>
            </w:r>
            <w:r>
              <w:rPr>
                <w:rFonts w:hint="eastAsia" w:ascii="宋体" w:hAnsi="宋体" w:cs="宋体"/>
                <w:color w:val="000000"/>
                <w:kern w:val="0"/>
                <w:sz w:val="20"/>
                <w:szCs w:val="20"/>
                <w:lang w:val="en-US" w:eastAsia="zh-CN"/>
              </w:rPr>
              <w:t>8.1</w:t>
            </w:r>
            <w:r>
              <w:rPr>
                <w:rFonts w:hint="eastAsia" w:ascii="宋体" w:hAnsi="宋体" w:cs="宋体"/>
                <w:color w:val="000000"/>
                <w:kern w:val="0"/>
                <w:sz w:val="20"/>
                <w:szCs w:val="20"/>
              </w:rPr>
              <w:t>℃</w:t>
            </w:r>
          </w:p>
          <w:p w14:paraId="669375F1">
            <w:pPr>
              <w:widowControl/>
              <w:spacing w:before="93" w:after="93" w:line="240" w:lineRule="exact"/>
              <w:ind w:firstLine="66"/>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rPr>
              <w:t>出口</w:t>
            </w:r>
            <w:r>
              <w:rPr>
                <w:rFonts w:hint="eastAsia" w:ascii="宋体" w:hAnsi="宋体" w:cs="宋体"/>
                <w:color w:val="000000"/>
                <w:kern w:val="0"/>
                <w:sz w:val="20"/>
                <w:szCs w:val="20"/>
                <w:lang w:val="en-US" w:eastAsia="zh-CN"/>
              </w:rPr>
              <w:t>含湿量</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10.6g/kg.干空气</w:t>
            </w:r>
          </w:p>
          <w:p w14:paraId="064A6BFB">
            <w:pPr>
              <w:widowControl/>
              <w:spacing w:before="93" w:after="93" w:line="240" w:lineRule="exact"/>
              <w:ind w:firstLine="66"/>
              <w:rPr>
                <w:rFonts w:ascii="宋体" w:hAnsi="宋体" w:cs="宋体"/>
                <w:color w:val="000000"/>
                <w:kern w:val="0"/>
                <w:sz w:val="20"/>
                <w:szCs w:val="20"/>
              </w:rPr>
            </w:pPr>
            <w:r>
              <w:rPr>
                <w:rFonts w:hint="eastAsia" w:ascii="宋体" w:hAnsi="宋体" w:cs="宋体"/>
                <w:color w:val="000000"/>
                <w:kern w:val="0"/>
                <w:sz w:val="20"/>
                <w:szCs w:val="20"/>
              </w:rPr>
              <w:t>出口干球温度：</w:t>
            </w:r>
            <w:r>
              <w:rPr>
                <w:rFonts w:hint="eastAsia" w:ascii="宋体" w:hAnsi="宋体" w:cs="宋体"/>
                <w:color w:val="000000"/>
                <w:kern w:val="0"/>
                <w:sz w:val="20"/>
                <w:szCs w:val="20"/>
                <w:lang w:val="en-US" w:eastAsia="zh-CN"/>
              </w:rPr>
              <w:t>18</w:t>
            </w:r>
            <w:r>
              <w:rPr>
                <w:rFonts w:hint="eastAsia" w:ascii="宋体" w:hAnsi="宋体" w:cs="宋体"/>
                <w:color w:val="000000"/>
                <w:kern w:val="0"/>
                <w:sz w:val="20"/>
                <w:szCs w:val="20"/>
              </w:rPr>
              <w:t>℃</w:t>
            </w:r>
          </w:p>
          <w:p w14:paraId="71CE2639">
            <w:pPr>
              <w:widowControl/>
              <w:spacing w:before="93" w:after="93" w:line="240" w:lineRule="exact"/>
              <w:ind w:firstLine="66"/>
              <w:rPr>
                <w:rFonts w:ascii="宋体" w:hAnsi="宋体" w:cs="宋体"/>
                <w:color w:val="000000"/>
                <w:kern w:val="0"/>
                <w:sz w:val="20"/>
                <w:szCs w:val="20"/>
              </w:rPr>
            </w:pPr>
            <w:r>
              <w:rPr>
                <w:rFonts w:hint="eastAsia" w:ascii="宋体" w:hAnsi="宋体" w:cs="宋体"/>
                <w:color w:val="000000"/>
                <w:kern w:val="0"/>
                <w:sz w:val="20"/>
                <w:szCs w:val="20"/>
              </w:rPr>
              <w:t>机外余压：300Pa</w:t>
            </w:r>
          </w:p>
          <w:p w14:paraId="261F0B62">
            <w:pPr>
              <w:widowControl/>
              <w:spacing w:before="93" w:after="93" w:line="240" w:lineRule="exact"/>
              <w:ind w:firstLine="66"/>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rPr>
              <w:t>机组能效大于等于</w:t>
            </w:r>
            <w:r>
              <w:rPr>
                <w:rFonts w:hint="eastAsia" w:ascii="宋体" w:hAnsi="宋体" w:cs="宋体"/>
                <w:color w:val="000000"/>
                <w:kern w:val="0"/>
                <w:sz w:val="20"/>
                <w:szCs w:val="20"/>
                <w:lang w:val="en-US" w:eastAsia="zh-CN"/>
              </w:rPr>
              <w:t>3</w:t>
            </w:r>
          </w:p>
          <w:p w14:paraId="6FDF8588">
            <w:pPr>
              <w:widowControl/>
              <w:spacing w:before="93" w:after="93" w:line="240" w:lineRule="exact"/>
              <w:ind w:firstLine="66"/>
              <w:rPr>
                <w:rFonts w:ascii="宋体" w:hAnsi="宋体" w:cs="宋体"/>
                <w:color w:val="000000"/>
                <w:kern w:val="0"/>
                <w:sz w:val="20"/>
                <w:szCs w:val="20"/>
              </w:rPr>
            </w:pPr>
            <w:r>
              <w:rPr>
                <w:rFonts w:hint="eastAsia" w:ascii="宋体" w:hAnsi="宋体" w:cs="宋体"/>
                <w:color w:val="000000"/>
                <w:kern w:val="0"/>
                <w:sz w:val="20"/>
                <w:szCs w:val="20"/>
              </w:rPr>
              <w:t>噪音：&lt;53</w:t>
            </w:r>
            <w:r>
              <w:rPr>
                <w:rFonts w:ascii="宋体" w:hAnsi="宋体" w:cs="宋体"/>
                <w:color w:val="000000"/>
                <w:kern w:val="0"/>
                <w:sz w:val="20"/>
                <w:szCs w:val="20"/>
              </w:rPr>
              <w:t>dB(A)</w:t>
            </w:r>
            <w:bookmarkStart w:id="6" w:name="_GoBack"/>
            <w:bookmarkEnd w:id="6"/>
          </w:p>
          <w:p w14:paraId="1BE864C9">
            <w:pPr>
              <w:widowControl/>
              <w:spacing w:before="93" w:after="93" w:line="240" w:lineRule="exact"/>
              <w:ind w:firstLine="66"/>
              <w:rPr>
                <w:rFonts w:ascii="宋体" w:hAnsi="宋体" w:cs="宋体"/>
                <w:color w:val="000000"/>
                <w:kern w:val="0"/>
                <w:sz w:val="20"/>
                <w:szCs w:val="20"/>
              </w:rPr>
            </w:pPr>
          </w:p>
        </w:tc>
        <w:tc>
          <w:tcPr>
            <w:tcW w:w="850" w:type="dxa"/>
            <w:shd w:val="clear" w:color="auto" w:fill="auto"/>
            <w:noWrap/>
            <w:vAlign w:val="center"/>
          </w:tcPr>
          <w:p w14:paraId="0DAA10DB">
            <w:pPr>
              <w:widowControl/>
              <w:spacing w:before="93" w:after="93" w:line="360" w:lineRule="auto"/>
              <w:jc w:val="center"/>
              <w:rPr>
                <w:rFonts w:ascii="宋体" w:hAnsi="宋体" w:cs="宋体"/>
                <w:color w:val="000000"/>
                <w:kern w:val="0"/>
                <w:sz w:val="20"/>
                <w:szCs w:val="20"/>
              </w:rPr>
            </w:pPr>
            <w:r>
              <w:rPr>
                <w:rFonts w:hint="eastAsia" w:ascii="宋体" w:hAnsi="宋体" w:cs="宋体"/>
                <w:color w:val="000000"/>
                <w:kern w:val="0"/>
                <w:sz w:val="20"/>
                <w:szCs w:val="20"/>
              </w:rPr>
              <w:t>台</w:t>
            </w:r>
          </w:p>
        </w:tc>
        <w:tc>
          <w:tcPr>
            <w:tcW w:w="851" w:type="dxa"/>
            <w:shd w:val="clear" w:color="auto" w:fill="auto"/>
            <w:vAlign w:val="center"/>
          </w:tcPr>
          <w:p w14:paraId="747D6B68">
            <w:pPr>
              <w:widowControl/>
              <w:spacing w:before="93" w:after="93" w:line="360" w:lineRule="auto"/>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089" w:type="dxa"/>
            <w:vMerge w:val="restart"/>
            <w:shd w:val="clear" w:color="auto" w:fill="auto"/>
            <w:noWrap/>
            <w:vAlign w:val="center"/>
          </w:tcPr>
          <w:p w14:paraId="29E5C3D1">
            <w:pPr>
              <w:widowControl/>
              <w:spacing w:before="93" w:after="93" w:line="240" w:lineRule="exact"/>
              <w:ind w:left="33" w:hanging="109"/>
              <w:rPr>
                <w:rFonts w:ascii="宋体" w:hAnsi="宋体" w:cs="宋体"/>
                <w:color w:val="000000"/>
                <w:kern w:val="0"/>
                <w:sz w:val="20"/>
                <w:szCs w:val="20"/>
              </w:rPr>
            </w:pPr>
            <w:r>
              <w:rPr>
                <w:rFonts w:hint="eastAsia" w:ascii="宋体" w:hAnsi="宋体" w:cs="宋体"/>
                <w:color w:val="000000"/>
                <w:kern w:val="0"/>
                <w:sz w:val="20"/>
                <w:szCs w:val="20"/>
              </w:rPr>
              <w:t>1、空调器漏风率≤1%；</w:t>
            </w:r>
          </w:p>
          <w:p w14:paraId="19036ED9">
            <w:pPr>
              <w:widowControl/>
              <w:spacing w:before="93" w:after="93" w:line="240" w:lineRule="exact"/>
              <w:ind w:left="33" w:hanging="109"/>
              <w:rPr>
                <w:rFonts w:ascii="宋体" w:hAnsi="宋体" w:cs="宋体"/>
                <w:color w:val="000000"/>
                <w:kern w:val="0"/>
                <w:sz w:val="20"/>
                <w:szCs w:val="20"/>
              </w:rPr>
            </w:pPr>
            <w:r>
              <w:rPr>
                <w:rFonts w:hint="eastAsia" w:ascii="宋体" w:hAnsi="宋体" w:cs="宋体"/>
                <w:color w:val="000000"/>
                <w:kern w:val="0"/>
                <w:sz w:val="20"/>
                <w:szCs w:val="20"/>
              </w:rPr>
              <w:t>2、空调器应有良好的减振措施；</w:t>
            </w:r>
          </w:p>
          <w:p w14:paraId="305A982C">
            <w:pPr>
              <w:widowControl/>
              <w:spacing w:before="93" w:after="93" w:line="240" w:lineRule="exact"/>
              <w:ind w:left="33" w:hanging="109"/>
              <w:rPr>
                <w:rFonts w:ascii="宋体" w:hAnsi="宋体" w:cs="宋体"/>
                <w:color w:val="000000"/>
                <w:kern w:val="0"/>
                <w:sz w:val="20"/>
                <w:szCs w:val="20"/>
              </w:rPr>
            </w:pPr>
            <w:r>
              <w:rPr>
                <w:rFonts w:hint="eastAsia" w:ascii="宋体" w:hAnsi="宋体" w:cs="宋体"/>
                <w:color w:val="000000"/>
                <w:kern w:val="0"/>
                <w:sz w:val="20"/>
                <w:szCs w:val="20"/>
              </w:rPr>
              <w:t>3室内机功能段为：初中效过滤器、表冷段、风机段。室内机出风口为接风管类型。</w:t>
            </w:r>
          </w:p>
        </w:tc>
      </w:tr>
      <w:tr w14:paraId="02C46F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26" w:hRule="atLeast"/>
        </w:trPr>
        <w:tc>
          <w:tcPr>
            <w:tcW w:w="1130" w:type="dxa"/>
            <w:shd w:val="clear" w:color="auto" w:fill="auto"/>
            <w:vAlign w:val="center"/>
          </w:tcPr>
          <w:p w14:paraId="4977BD56">
            <w:pPr>
              <w:widowControl/>
              <w:spacing w:before="93" w:after="93" w:line="240" w:lineRule="exact"/>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rPr>
              <w:t>新风机组</w:t>
            </w:r>
            <w:r>
              <w:rPr>
                <w:rFonts w:hint="eastAsia" w:ascii="宋体" w:hAnsi="宋体" w:cs="宋体"/>
                <w:color w:val="000000"/>
                <w:kern w:val="0"/>
                <w:sz w:val="20"/>
                <w:szCs w:val="20"/>
                <w:lang w:val="en-US" w:eastAsia="zh-CN"/>
              </w:rPr>
              <w:t>2</w:t>
            </w:r>
          </w:p>
        </w:tc>
        <w:tc>
          <w:tcPr>
            <w:tcW w:w="3009" w:type="dxa"/>
            <w:shd w:val="clear" w:color="auto" w:fill="auto"/>
            <w:vAlign w:val="center"/>
          </w:tcPr>
          <w:p w14:paraId="0F706018">
            <w:pPr>
              <w:widowControl/>
              <w:spacing w:before="93" w:after="93" w:line="240" w:lineRule="exact"/>
              <w:rPr>
                <w:rFonts w:ascii="宋体" w:hAnsi="宋体" w:cs="宋体"/>
                <w:color w:val="000000"/>
                <w:kern w:val="0"/>
                <w:sz w:val="20"/>
                <w:szCs w:val="20"/>
              </w:rPr>
            </w:pPr>
            <w:r>
              <w:rPr>
                <w:rFonts w:hint="eastAsia" w:ascii="宋体" w:hAnsi="宋体" w:cs="宋体"/>
                <w:color w:val="000000"/>
                <w:kern w:val="0"/>
                <w:sz w:val="20"/>
                <w:szCs w:val="20"/>
              </w:rPr>
              <w:t>额定风量：</w:t>
            </w:r>
            <w:r>
              <w:rPr>
                <w:rFonts w:hint="eastAsia" w:ascii="宋体" w:hAnsi="宋体" w:cs="宋体"/>
                <w:color w:val="000000"/>
                <w:kern w:val="0"/>
                <w:sz w:val="20"/>
                <w:szCs w:val="20"/>
                <w:lang w:val="en-US" w:eastAsia="zh-CN"/>
              </w:rPr>
              <w:t>7</w:t>
            </w:r>
            <w:r>
              <w:rPr>
                <w:rFonts w:hint="eastAsia" w:ascii="宋体" w:hAnsi="宋体" w:cs="宋体"/>
                <w:color w:val="000000"/>
                <w:kern w:val="0"/>
                <w:sz w:val="20"/>
                <w:szCs w:val="20"/>
              </w:rPr>
              <w:t>000m3/h</w:t>
            </w:r>
          </w:p>
          <w:p w14:paraId="661D33CB">
            <w:pPr>
              <w:widowControl/>
              <w:spacing w:before="93" w:after="93" w:line="240" w:lineRule="exact"/>
              <w:rPr>
                <w:rFonts w:ascii="宋体" w:hAnsi="宋体" w:cs="宋体"/>
                <w:color w:val="000000"/>
                <w:kern w:val="0"/>
                <w:sz w:val="20"/>
                <w:szCs w:val="20"/>
              </w:rPr>
            </w:pPr>
            <w:r>
              <w:rPr>
                <w:rFonts w:hint="eastAsia" w:ascii="宋体" w:hAnsi="宋体" w:cs="宋体"/>
                <w:color w:val="000000"/>
                <w:kern w:val="0"/>
                <w:sz w:val="20"/>
                <w:szCs w:val="20"/>
              </w:rPr>
              <w:t>制冷量：≥</w:t>
            </w:r>
            <w:r>
              <w:rPr>
                <w:rFonts w:hint="eastAsia" w:ascii="宋体" w:hAnsi="宋体" w:cs="宋体"/>
                <w:color w:val="000000"/>
                <w:kern w:val="0"/>
                <w:sz w:val="20"/>
                <w:szCs w:val="20"/>
                <w:lang w:val="en-US" w:eastAsia="zh-CN"/>
              </w:rPr>
              <w:t>84</w:t>
            </w:r>
            <w:r>
              <w:rPr>
                <w:rFonts w:hint="eastAsia" w:ascii="宋体" w:hAnsi="宋体" w:cs="宋体"/>
                <w:color w:val="000000"/>
                <w:kern w:val="0"/>
                <w:sz w:val="20"/>
                <w:szCs w:val="20"/>
              </w:rPr>
              <w:t>kw</w:t>
            </w:r>
          </w:p>
          <w:p w14:paraId="0E4A3609">
            <w:pPr>
              <w:widowControl/>
              <w:spacing w:before="93" w:after="93" w:line="240" w:lineRule="exact"/>
              <w:rPr>
                <w:rFonts w:ascii="宋体" w:hAnsi="宋体" w:cs="宋体"/>
                <w:color w:val="000000"/>
                <w:kern w:val="0"/>
                <w:sz w:val="20"/>
                <w:szCs w:val="20"/>
              </w:rPr>
            </w:pPr>
            <w:r>
              <w:rPr>
                <w:rFonts w:hint="eastAsia" w:ascii="宋体" w:hAnsi="宋体" w:cs="宋体"/>
                <w:color w:val="000000"/>
                <w:kern w:val="0"/>
                <w:sz w:val="20"/>
                <w:szCs w:val="20"/>
              </w:rPr>
              <w:t>进口干湿球温度：33.5/2</w:t>
            </w:r>
            <w:r>
              <w:rPr>
                <w:rFonts w:hint="eastAsia" w:ascii="宋体" w:hAnsi="宋体" w:cs="宋体"/>
                <w:color w:val="000000"/>
                <w:kern w:val="0"/>
                <w:sz w:val="20"/>
                <w:szCs w:val="20"/>
                <w:lang w:val="en-US" w:eastAsia="zh-CN"/>
              </w:rPr>
              <w:t>8.1</w:t>
            </w:r>
            <w:r>
              <w:rPr>
                <w:rFonts w:hint="eastAsia" w:ascii="宋体" w:hAnsi="宋体" w:cs="宋体"/>
                <w:color w:val="000000"/>
                <w:kern w:val="0"/>
                <w:sz w:val="20"/>
                <w:szCs w:val="20"/>
              </w:rPr>
              <w:t>℃</w:t>
            </w:r>
          </w:p>
          <w:p w14:paraId="02CB0BDC">
            <w:pPr>
              <w:widowControl/>
              <w:spacing w:before="93" w:after="93" w:line="240" w:lineRule="exact"/>
              <w:ind w:firstLine="66"/>
              <w:rPr>
                <w:rFonts w:hint="default" w:ascii="宋体" w:hAnsi="宋体" w:cs="宋体" w:eastAsiaTheme="minorEastAsia"/>
                <w:color w:val="000000"/>
                <w:kern w:val="0"/>
                <w:sz w:val="20"/>
                <w:szCs w:val="20"/>
                <w:lang w:val="en-US" w:eastAsia="zh-CN"/>
              </w:rPr>
            </w:pPr>
            <w:r>
              <w:rPr>
                <w:rFonts w:hint="eastAsia" w:ascii="宋体" w:hAnsi="宋体" w:cs="宋体"/>
                <w:color w:val="000000"/>
                <w:kern w:val="0"/>
                <w:sz w:val="20"/>
                <w:szCs w:val="20"/>
              </w:rPr>
              <w:t>出口</w:t>
            </w:r>
            <w:r>
              <w:rPr>
                <w:rFonts w:hint="eastAsia" w:ascii="宋体" w:hAnsi="宋体" w:cs="宋体"/>
                <w:color w:val="000000"/>
                <w:kern w:val="0"/>
                <w:sz w:val="20"/>
                <w:szCs w:val="20"/>
                <w:lang w:val="en-US" w:eastAsia="zh-CN"/>
              </w:rPr>
              <w:t>含湿量</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10.6g/kg.干空气</w:t>
            </w:r>
          </w:p>
          <w:p w14:paraId="0E2B97DE">
            <w:pPr>
              <w:widowControl/>
              <w:spacing w:before="93" w:after="93" w:line="240" w:lineRule="exact"/>
              <w:rPr>
                <w:rFonts w:ascii="宋体" w:hAnsi="宋体" w:cs="宋体"/>
                <w:color w:val="000000"/>
                <w:kern w:val="0"/>
                <w:sz w:val="20"/>
                <w:szCs w:val="20"/>
              </w:rPr>
            </w:pPr>
            <w:r>
              <w:rPr>
                <w:rFonts w:hint="eastAsia" w:ascii="宋体" w:hAnsi="宋体" w:cs="宋体"/>
                <w:color w:val="000000"/>
                <w:kern w:val="0"/>
                <w:sz w:val="20"/>
                <w:szCs w:val="20"/>
              </w:rPr>
              <w:t>出口干球温度：</w:t>
            </w:r>
            <w:r>
              <w:rPr>
                <w:rFonts w:hint="eastAsia" w:ascii="宋体" w:hAnsi="宋体" w:cs="宋体"/>
                <w:color w:val="000000"/>
                <w:kern w:val="0"/>
                <w:sz w:val="20"/>
                <w:szCs w:val="20"/>
                <w:lang w:val="en-US" w:eastAsia="zh-CN"/>
              </w:rPr>
              <w:t>18</w:t>
            </w:r>
            <w:r>
              <w:rPr>
                <w:rFonts w:hint="eastAsia" w:ascii="宋体" w:hAnsi="宋体" w:cs="宋体"/>
                <w:color w:val="000000"/>
                <w:kern w:val="0"/>
                <w:sz w:val="20"/>
                <w:szCs w:val="20"/>
              </w:rPr>
              <w:t>℃</w:t>
            </w:r>
          </w:p>
          <w:p w14:paraId="27906888">
            <w:pPr>
              <w:widowControl/>
              <w:spacing w:before="93" w:after="93" w:line="240" w:lineRule="exact"/>
              <w:rPr>
                <w:rFonts w:ascii="宋体" w:hAnsi="宋体" w:cs="宋体"/>
                <w:color w:val="000000"/>
                <w:kern w:val="0"/>
                <w:sz w:val="20"/>
                <w:szCs w:val="20"/>
              </w:rPr>
            </w:pPr>
            <w:r>
              <w:rPr>
                <w:rFonts w:hint="eastAsia" w:ascii="宋体" w:hAnsi="宋体" w:cs="宋体"/>
                <w:color w:val="000000"/>
                <w:kern w:val="0"/>
                <w:sz w:val="20"/>
                <w:szCs w:val="20"/>
              </w:rPr>
              <w:t>机外余压：300Pa</w:t>
            </w:r>
          </w:p>
          <w:p w14:paraId="4CC613FF">
            <w:pPr>
              <w:widowControl/>
              <w:spacing w:before="93" w:after="93" w:line="240" w:lineRule="exact"/>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rPr>
              <w:t>机组能效大于等于</w:t>
            </w:r>
            <w:r>
              <w:rPr>
                <w:rFonts w:hint="eastAsia" w:ascii="宋体" w:hAnsi="宋体" w:cs="宋体"/>
                <w:color w:val="000000"/>
                <w:kern w:val="0"/>
                <w:sz w:val="20"/>
                <w:szCs w:val="20"/>
                <w:lang w:val="en-US" w:eastAsia="zh-CN"/>
              </w:rPr>
              <w:t>3</w:t>
            </w:r>
          </w:p>
          <w:p w14:paraId="3FF2E23A">
            <w:pPr>
              <w:widowControl/>
              <w:spacing w:before="93" w:after="93" w:line="240" w:lineRule="exact"/>
              <w:rPr>
                <w:rFonts w:ascii="宋体" w:hAnsi="宋体" w:cs="宋体"/>
                <w:color w:val="000000"/>
                <w:kern w:val="0"/>
                <w:sz w:val="20"/>
                <w:szCs w:val="20"/>
              </w:rPr>
            </w:pPr>
            <w:r>
              <w:rPr>
                <w:rFonts w:hint="eastAsia" w:ascii="宋体" w:hAnsi="宋体" w:cs="宋体"/>
                <w:color w:val="000000"/>
                <w:kern w:val="0"/>
                <w:sz w:val="20"/>
                <w:szCs w:val="20"/>
              </w:rPr>
              <w:t>噪音：&lt;53</w:t>
            </w:r>
            <w:r>
              <w:rPr>
                <w:rFonts w:ascii="宋体" w:hAnsi="宋体" w:cs="宋体"/>
                <w:color w:val="000000"/>
                <w:kern w:val="0"/>
                <w:sz w:val="20"/>
                <w:szCs w:val="20"/>
              </w:rPr>
              <w:t>dB(A)</w:t>
            </w:r>
          </w:p>
          <w:p w14:paraId="22A2D591">
            <w:pPr>
              <w:widowControl/>
              <w:spacing w:before="93" w:after="93" w:line="240" w:lineRule="exact"/>
              <w:rPr>
                <w:rFonts w:ascii="宋体" w:hAnsi="宋体" w:cs="宋体"/>
                <w:color w:val="000000"/>
                <w:kern w:val="0"/>
                <w:sz w:val="20"/>
                <w:szCs w:val="20"/>
              </w:rPr>
            </w:pPr>
          </w:p>
          <w:p w14:paraId="201E4275">
            <w:pPr>
              <w:spacing w:before="93" w:after="93" w:line="240" w:lineRule="exact"/>
              <w:ind w:hanging="536"/>
              <w:rPr>
                <w:rFonts w:ascii="宋体" w:hAnsi="宋体" w:cs="宋体"/>
                <w:color w:val="000000"/>
                <w:kern w:val="0"/>
                <w:sz w:val="20"/>
                <w:szCs w:val="20"/>
              </w:rPr>
            </w:pPr>
          </w:p>
        </w:tc>
        <w:tc>
          <w:tcPr>
            <w:tcW w:w="850" w:type="dxa"/>
            <w:shd w:val="clear" w:color="auto" w:fill="auto"/>
            <w:noWrap/>
            <w:vAlign w:val="center"/>
          </w:tcPr>
          <w:p w14:paraId="589655E7">
            <w:pPr>
              <w:widowControl/>
              <w:spacing w:before="93" w:after="93" w:line="360" w:lineRule="auto"/>
              <w:jc w:val="center"/>
              <w:rPr>
                <w:rFonts w:ascii="宋体" w:hAnsi="宋体" w:cs="宋体"/>
                <w:color w:val="000000"/>
                <w:kern w:val="0"/>
                <w:sz w:val="20"/>
                <w:szCs w:val="20"/>
              </w:rPr>
            </w:pPr>
            <w:r>
              <w:rPr>
                <w:rFonts w:hint="eastAsia" w:ascii="宋体" w:hAnsi="宋体" w:cs="宋体"/>
                <w:color w:val="000000"/>
                <w:kern w:val="0"/>
                <w:sz w:val="20"/>
                <w:szCs w:val="20"/>
              </w:rPr>
              <w:t>台</w:t>
            </w:r>
          </w:p>
        </w:tc>
        <w:tc>
          <w:tcPr>
            <w:tcW w:w="851" w:type="dxa"/>
            <w:shd w:val="clear" w:color="auto" w:fill="auto"/>
            <w:noWrap/>
            <w:vAlign w:val="center"/>
          </w:tcPr>
          <w:p w14:paraId="752E49CB">
            <w:pPr>
              <w:widowControl/>
              <w:spacing w:before="93" w:after="93" w:line="360" w:lineRule="auto"/>
              <w:jc w:val="center"/>
              <w:rPr>
                <w:rFonts w:hint="eastAsia" w:ascii="宋体" w:hAnsi="宋体" w:cs="宋体" w:eastAsiaTheme="minorEastAsia"/>
                <w:color w:val="000000"/>
                <w:kern w:val="0"/>
                <w:sz w:val="20"/>
                <w:szCs w:val="20"/>
                <w:lang w:val="en-US" w:eastAsia="zh-CN"/>
              </w:rPr>
            </w:pPr>
            <w:r>
              <w:rPr>
                <w:rFonts w:hint="eastAsia" w:ascii="宋体" w:hAnsi="宋体" w:cs="宋体"/>
                <w:color w:val="000000"/>
                <w:kern w:val="0"/>
                <w:sz w:val="20"/>
                <w:szCs w:val="20"/>
                <w:lang w:val="en-US" w:eastAsia="zh-CN"/>
              </w:rPr>
              <w:t>1</w:t>
            </w:r>
          </w:p>
        </w:tc>
        <w:tc>
          <w:tcPr>
            <w:tcW w:w="2089" w:type="dxa"/>
            <w:vMerge w:val="continue"/>
            <w:shd w:val="clear" w:color="auto" w:fill="auto"/>
            <w:noWrap/>
            <w:vAlign w:val="center"/>
          </w:tcPr>
          <w:p w14:paraId="6B3B2E50">
            <w:pPr>
              <w:spacing w:before="93" w:after="93" w:line="360" w:lineRule="auto"/>
              <w:jc w:val="center"/>
              <w:rPr>
                <w:rFonts w:ascii="宋体" w:hAnsi="宋体" w:cs="宋体"/>
                <w:color w:val="000000"/>
                <w:kern w:val="0"/>
                <w:sz w:val="20"/>
                <w:szCs w:val="20"/>
              </w:rPr>
            </w:pPr>
          </w:p>
        </w:tc>
      </w:tr>
    </w:tbl>
    <w:p w14:paraId="4FE76882">
      <w:pPr>
        <w:spacing w:before="93" w:after="93" w:line="240" w:lineRule="auto"/>
        <w:rPr>
          <w:sz w:val="20"/>
          <w:szCs w:val="20"/>
        </w:rPr>
      </w:pPr>
      <w:r>
        <w:rPr>
          <w:rFonts w:hint="eastAsia"/>
          <w:sz w:val="20"/>
          <w:szCs w:val="20"/>
        </w:rPr>
        <w:t xml:space="preserve">  </w:t>
      </w:r>
    </w:p>
    <w:p w14:paraId="4C37DA46">
      <w:pPr>
        <w:spacing w:before="93" w:after="93" w:line="240" w:lineRule="auto"/>
        <w:rPr>
          <w:sz w:val="20"/>
          <w:szCs w:val="20"/>
        </w:rPr>
      </w:pPr>
      <w:r>
        <w:rPr>
          <w:rFonts w:hint="eastAsia"/>
          <w:sz w:val="20"/>
          <w:szCs w:val="20"/>
        </w:rPr>
        <w:t>注：</w:t>
      </w:r>
    </w:p>
    <w:p w14:paraId="009EF691">
      <w:pPr>
        <w:spacing w:before="93" w:after="93" w:line="240" w:lineRule="auto"/>
        <w:rPr>
          <w:sz w:val="20"/>
          <w:szCs w:val="20"/>
        </w:rPr>
      </w:pPr>
      <w:r>
        <w:rPr>
          <w:rFonts w:hint="eastAsia"/>
          <w:sz w:val="20"/>
          <w:szCs w:val="20"/>
        </w:rPr>
        <w:t xml:space="preserve">  (1)</w:t>
      </w:r>
      <w:r>
        <w:rPr>
          <w:rFonts w:hint="eastAsia"/>
          <w:sz w:val="20"/>
          <w:szCs w:val="20"/>
          <w:lang w:eastAsia="zh-CN"/>
        </w:rPr>
        <w:t>投标人</w:t>
      </w:r>
      <w:r>
        <w:rPr>
          <w:rFonts w:hint="eastAsia"/>
          <w:sz w:val="20"/>
          <w:szCs w:val="20"/>
        </w:rPr>
        <w:t>需依据图纸对上述表中设备数量、参数、接管方向方式、功能段、安装形式等要求等进行核对，如有差异应书面明确提出。</w:t>
      </w:r>
    </w:p>
    <w:p w14:paraId="21661176">
      <w:pPr>
        <w:spacing w:before="93" w:after="93" w:line="240" w:lineRule="auto"/>
      </w:pPr>
      <w:r>
        <w:rPr>
          <w:rFonts w:hint="eastAsia"/>
          <w:sz w:val="20"/>
          <w:szCs w:val="20"/>
        </w:rPr>
        <w:t xml:space="preserve">  </w:t>
      </w:r>
    </w:p>
    <w:sectPr>
      <w:footerReference r:id="rId11"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735EE">
    <w:pPr>
      <w:pStyle w:val="16"/>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B2BEC">
    <w:pPr>
      <w:pStyle w:val="16"/>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A8EC">
    <w:pPr>
      <w:pStyle w:val="16"/>
      <w:spacing w:before="72" w:after="7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A5669">
    <w:pPr>
      <w:pStyle w:val="16"/>
      <w:pBdr>
        <w:top w:val="single" w:color="auto" w:sz="4" w:space="1"/>
      </w:pBdr>
      <w:spacing w:before="72" w:after="72"/>
      <w:jc w:val="center"/>
    </w:pPr>
    <w:r>
      <w:fldChar w:fldCharType="begin"/>
    </w:r>
    <w:r>
      <w:instrText xml:space="preserve">PAGE   \* MERGEFORMAT</w:instrText>
    </w:r>
    <w:r>
      <w:fldChar w:fldCharType="separate"/>
    </w:r>
    <w:r>
      <w:rPr>
        <w:lang w:val="zh-CN"/>
      </w:rPr>
      <w:t>20</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411B1">
    <w:pPr>
      <w:pStyle w:val="17"/>
      <w:pBdr>
        <w:bottom w:val="none" w:color="auto" w:sz="0" w:space="0"/>
      </w:pBd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82AE6">
    <w:pPr>
      <w:pStyle w:val="17"/>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F36EB">
    <w:pPr>
      <w:pStyle w:val="17"/>
      <w:pBdr>
        <w:bottom w:val="single" w:color="auto" w:sz="4" w:space="1"/>
      </w:pBdr>
      <w:spacing w:before="72" w:after="72"/>
    </w:pPr>
    <w:r>
      <w:rPr>
        <w:sz w:val="28"/>
        <w:szCs w:val="28"/>
      </w:rPr>
      <w:drawing>
        <wp:anchor distT="0" distB="0" distL="114300" distR="114300" simplePos="0" relativeHeight="251659264" behindDoc="0" locked="0" layoutInCell="1" allowOverlap="1">
          <wp:simplePos x="0" y="0"/>
          <wp:positionH relativeFrom="margin">
            <wp:align>left</wp:align>
          </wp:positionH>
          <wp:positionV relativeFrom="paragraph">
            <wp:posOffset>-281305</wp:posOffset>
          </wp:positionV>
          <wp:extent cx="830580" cy="419100"/>
          <wp:effectExtent l="0" t="0" r="7620" b="635"/>
          <wp:wrapNone/>
          <wp:docPr id="2" name="图片 2" descr="D:\01 DLXD\文档模板\德利迅达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1 DLXD\文档模板\德利迅达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830580" cy="41887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1A5CDD"/>
    <w:multiLevelType w:val="multilevel"/>
    <w:tmpl w:val="141A5CD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A31FC"/>
    <w:multiLevelType w:val="multilevel"/>
    <w:tmpl w:val="14DA31FC"/>
    <w:lvl w:ilvl="0" w:tentative="0">
      <w:start w:val="1"/>
      <w:numFmt w:val="decimal"/>
      <w:lvlText w:val="%1."/>
      <w:lvlJc w:val="left"/>
      <w:pPr>
        <w:ind w:left="840" w:hanging="420"/>
      </w:pPr>
    </w:lvl>
    <w:lvl w:ilvl="1" w:tentative="0">
      <w:start w:val="1"/>
      <w:numFmt w:val="upperLetter"/>
      <w:lvlText w:val="%2."/>
      <w:lvlJc w:val="left"/>
      <w:pPr>
        <w:ind w:left="1200" w:hanging="360"/>
      </w:pPr>
      <w:rPr>
        <w:rFonts w:hint="default"/>
      </w:rPr>
    </w:lvl>
    <w:lvl w:ilvl="2" w:tentative="0">
      <w:start w:val="1"/>
      <w:numFmt w:val="lowerLetter"/>
      <w:lvlText w:val="%3."/>
      <w:lvlJc w:val="left"/>
      <w:pPr>
        <w:ind w:left="1620" w:hanging="360"/>
      </w:pPr>
      <w:rPr>
        <w:rFonts w:hint="default"/>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7530D33"/>
    <w:multiLevelType w:val="multilevel"/>
    <w:tmpl w:val="17530D33"/>
    <w:lvl w:ilvl="0" w:tentative="0">
      <w:start w:val="1"/>
      <w:numFmt w:val="decimal"/>
      <w:lvlText w:val="%1)"/>
      <w:lvlJc w:val="left"/>
      <w:pPr>
        <w:ind w:left="840" w:hanging="420"/>
      </w:pPr>
    </w:lvl>
    <w:lvl w:ilvl="1" w:tentative="0">
      <w:start w:val="1"/>
      <w:numFmt w:val="decimal"/>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B2F0FF4"/>
    <w:multiLevelType w:val="multilevel"/>
    <w:tmpl w:val="1B2F0FF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D4B0C19"/>
    <w:multiLevelType w:val="multilevel"/>
    <w:tmpl w:val="1D4B0C19"/>
    <w:lvl w:ilvl="0" w:tentative="0">
      <w:start w:val="1"/>
      <w:numFmt w:val="decimal"/>
      <w:pStyle w:val="48"/>
      <w:lvlText w:val="%1"/>
      <w:lvlJc w:val="left"/>
      <w:pPr>
        <w:ind w:left="432" w:hanging="432"/>
      </w:pPr>
    </w:lvl>
    <w:lvl w:ilvl="1" w:tentative="0">
      <w:start w:val="1"/>
      <w:numFmt w:val="decimal"/>
      <w:pStyle w:val="49"/>
      <w:lvlText w:val="%1.%2"/>
      <w:lvlJc w:val="left"/>
      <w:pPr>
        <w:ind w:left="576" w:hanging="576"/>
      </w:pPr>
    </w:lvl>
    <w:lvl w:ilvl="2" w:tentative="0">
      <w:start w:val="1"/>
      <w:numFmt w:val="decimal"/>
      <w:pStyle w:val="50"/>
      <w:lvlText w:val="%1.%2.%3"/>
      <w:lvlJc w:val="left"/>
      <w:pPr>
        <w:ind w:left="720" w:hanging="720"/>
      </w:pPr>
    </w:lvl>
    <w:lvl w:ilvl="3" w:tentative="0">
      <w:start w:val="1"/>
      <w:numFmt w:val="decimal"/>
      <w:pStyle w:val="51"/>
      <w:lvlText w:val="%1.%2.%3.%4"/>
      <w:lvlJc w:val="left"/>
      <w:pPr>
        <w:ind w:left="864" w:hanging="864"/>
      </w:pPr>
    </w:lvl>
    <w:lvl w:ilvl="4" w:tentative="0">
      <w:start w:val="1"/>
      <w:numFmt w:val="decimal"/>
      <w:pStyle w:val="52"/>
      <w:lvlText w:val="%1.%2.%3.%4.%5"/>
      <w:lvlJc w:val="left"/>
      <w:pPr>
        <w:ind w:left="1008" w:hanging="1008"/>
      </w:pPr>
    </w:lvl>
    <w:lvl w:ilvl="5" w:tentative="0">
      <w:start w:val="1"/>
      <w:numFmt w:val="decimal"/>
      <w:pStyle w:val="53"/>
      <w:lvlText w:val="%1.%2.%3.%4.%5.%6"/>
      <w:lvlJc w:val="left"/>
      <w:pPr>
        <w:ind w:left="1152" w:hanging="1152"/>
      </w:pPr>
    </w:lvl>
    <w:lvl w:ilvl="6" w:tentative="0">
      <w:start w:val="1"/>
      <w:numFmt w:val="decimal"/>
      <w:pStyle w:val="54"/>
      <w:lvlText w:val="%1.%2.%3.%4.%5.%6.%7"/>
      <w:lvlJc w:val="left"/>
      <w:pPr>
        <w:ind w:left="1296" w:hanging="1296"/>
      </w:pPr>
    </w:lvl>
    <w:lvl w:ilvl="7" w:tentative="0">
      <w:start w:val="1"/>
      <w:numFmt w:val="decimal"/>
      <w:pStyle w:val="55"/>
      <w:lvlText w:val="%1.%2.%3.%4.%5.%6.%7.%8"/>
      <w:lvlJc w:val="left"/>
      <w:pPr>
        <w:ind w:left="1440" w:hanging="1440"/>
      </w:pPr>
    </w:lvl>
    <w:lvl w:ilvl="8" w:tentative="0">
      <w:start w:val="1"/>
      <w:numFmt w:val="decimal"/>
      <w:pStyle w:val="56"/>
      <w:lvlText w:val="%1.%2.%3.%4.%5.%6.%7.%8.%9"/>
      <w:lvlJc w:val="left"/>
      <w:pPr>
        <w:ind w:left="1584" w:hanging="1584"/>
      </w:pPr>
    </w:lvl>
  </w:abstractNum>
  <w:abstractNum w:abstractNumId="5">
    <w:nsid w:val="245633CE"/>
    <w:multiLevelType w:val="multilevel"/>
    <w:tmpl w:val="245633CE"/>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6">
    <w:nsid w:val="2A4F4B54"/>
    <w:multiLevelType w:val="multilevel"/>
    <w:tmpl w:val="2A4F4B5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3FDD47CC"/>
    <w:multiLevelType w:val="multilevel"/>
    <w:tmpl w:val="3FDD47CC"/>
    <w:lvl w:ilvl="0" w:tentative="0">
      <w:start w:val="1"/>
      <w:numFmt w:val="decimal"/>
      <w:pStyle w:val="20"/>
      <w:lvlText w:val="%1"/>
      <w:lvlJc w:val="center"/>
      <w:pPr>
        <w:tabs>
          <w:tab w:val="left" w:pos="360"/>
        </w:tabs>
      </w:pPr>
      <w:rPr>
        <w:rFonts w:hint="default" w:ascii="Times New Roman" w:hAnsi="Times New Roman" w:eastAsia="宋体" w:cs="Times New Roman"/>
        <w:b/>
        <w:i w:val="0"/>
        <w:sz w:val="44"/>
        <w:szCs w:val="44"/>
      </w:rPr>
    </w:lvl>
    <w:lvl w:ilvl="1" w:tentative="0">
      <w:start w:val="1"/>
      <w:numFmt w:val="decimal"/>
      <w:lvlText w:val="%1.%2"/>
      <w:lvlJc w:val="left"/>
      <w:pPr>
        <w:tabs>
          <w:tab w:val="left" w:pos="0"/>
        </w:tabs>
      </w:pPr>
      <w:rPr>
        <w:rFonts w:hint="eastAsia" w:cs="Times New Roman"/>
      </w:rPr>
    </w:lvl>
    <w:lvl w:ilvl="2" w:tentative="0">
      <w:start w:val="1"/>
      <w:numFmt w:val="decimal"/>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0"/>
        </w:tabs>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8">
    <w:nsid w:val="73B70E50"/>
    <w:multiLevelType w:val="multilevel"/>
    <w:tmpl w:val="73B70E50"/>
    <w:lvl w:ilvl="0" w:tentative="0">
      <w:start w:val="1"/>
      <w:numFmt w:val="decimal"/>
      <w:pStyle w:val="58"/>
      <w:lvlText w:val="2.%1"/>
      <w:lvlJc w:val="left"/>
      <w:pPr>
        <w:ind w:left="1271" w:hanging="420"/>
      </w:pPr>
      <w:rPr>
        <w:rFonts w:hint="eastAsia" w:cs="Times New Roman"/>
        <w:sz w:val="24"/>
        <w:szCs w:val="24"/>
      </w:rPr>
    </w:lvl>
    <w:lvl w:ilvl="1" w:tentative="0">
      <w:start w:val="1"/>
      <w:numFmt w:val="lowerLetter"/>
      <w:lvlText w:val="%2)"/>
      <w:lvlJc w:val="left"/>
      <w:pPr>
        <w:ind w:left="1740" w:hanging="420"/>
      </w:pPr>
      <w:rPr>
        <w:rFonts w:cs="Times New Roman"/>
      </w:rPr>
    </w:lvl>
    <w:lvl w:ilvl="2" w:tentative="0">
      <w:start w:val="1"/>
      <w:numFmt w:val="lowerRoman"/>
      <w:lvlText w:val="%3."/>
      <w:lvlJc w:val="right"/>
      <w:pPr>
        <w:ind w:left="2160" w:hanging="420"/>
      </w:pPr>
      <w:rPr>
        <w:rFonts w:cs="Times New Roman"/>
      </w:rPr>
    </w:lvl>
    <w:lvl w:ilvl="3" w:tentative="0">
      <w:start w:val="1"/>
      <w:numFmt w:val="decimal"/>
      <w:lvlText w:val="%4."/>
      <w:lvlJc w:val="left"/>
      <w:pPr>
        <w:ind w:left="2580" w:hanging="420"/>
      </w:pPr>
      <w:rPr>
        <w:rFonts w:cs="Times New Roman"/>
      </w:rPr>
    </w:lvl>
    <w:lvl w:ilvl="4" w:tentative="0">
      <w:start w:val="1"/>
      <w:numFmt w:val="lowerLetter"/>
      <w:lvlText w:val="%5)"/>
      <w:lvlJc w:val="left"/>
      <w:pPr>
        <w:ind w:left="3000" w:hanging="420"/>
      </w:pPr>
      <w:rPr>
        <w:rFonts w:cs="Times New Roman"/>
      </w:rPr>
    </w:lvl>
    <w:lvl w:ilvl="5" w:tentative="0">
      <w:start w:val="1"/>
      <w:numFmt w:val="lowerRoman"/>
      <w:lvlText w:val="%6."/>
      <w:lvlJc w:val="right"/>
      <w:pPr>
        <w:ind w:left="3420" w:hanging="420"/>
      </w:pPr>
      <w:rPr>
        <w:rFonts w:cs="Times New Roman"/>
      </w:rPr>
    </w:lvl>
    <w:lvl w:ilvl="6" w:tentative="0">
      <w:start w:val="1"/>
      <w:numFmt w:val="decimal"/>
      <w:lvlText w:val="%7."/>
      <w:lvlJc w:val="left"/>
      <w:pPr>
        <w:ind w:left="3840" w:hanging="420"/>
      </w:pPr>
      <w:rPr>
        <w:rFonts w:cs="Times New Roman"/>
      </w:rPr>
    </w:lvl>
    <w:lvl w:ilvl="7" w:tentative="0">
      <w:start w:val="1"/>
      <w:numFmt w:val="lowerLetter"/>
      <w:lvlText w:val="%8)"/>
      <w:lvlJc w:val="left"/>
      <w:pPr>
        <w:ind w:left="4260" w:hanging="420"/>
      </w:pPr>
      <w:rPr>
        <w:rFonts w:cs="Times New Roman"/>
      </w:rPr>
    </w:lvl>
    <w:lvl w:ilvl="8" w:tentative="0">
      <w:start w:val="1"/>
      <w:numFmt w:val="lowerRoman"/>
      <w:lvlText w:val="%9."/>
      <w:lvlJc w:val="right"/>
      <w:pPr>
        <w:ind w:left="4680" w:hanging="420"/>
      </w:pPr>
      <w:rPr>
        <w:rFonts w:cs="Times New Roman"/>
      </w:rPr>
    </w:lvl>
  </w:abstractNum>
  <w:num w:numId="1">
    <w:abstractNumId w:val="5"/>
  </w:num>
  <w:num w:numId="2">
    <w:abstractNumId w:val="7"/>
  </w:num>
  <w:num w:numId="3">
    <w:abstractNumId w:val="4"/>
  </w:num>
  <w:num w:numId="4">
    <w:abstractNumId w:val="8"/>
  </w:num>
  <w:num w:numId="5">
    <w:abstractNumId w:val="3"/>
  </w:num>
  <w:num w:numId="6">
    <w:abstractNumId w:val="1"/>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B86"/>
    <w:rsid w:val="00005D65"/>
    <w:rsid w:val="00031BAC"/>
    <w:rsid w:val="00032ED2"/>
    <w:rsid w:val="00034D46"/>
    <w:rsid w:val="000432F5"/>
    <w:rsid w:val="000435B2"/>
    <w:rsid w:val="00044B7A"/>
    <w:rsid w:val="000454DB"/>
    <w:rsid w:val="000509C6"/>
    <w:rsid w:val="00052C29"/>
    <w:rsid w:val="00061BDB"/>
    <w:rsid w:val="000620BB"/>
    <w:rsid w:val="00066475"/>
    <w:rsid w:val="00073E81"/>
    <w:rsid w:val="0007547F"/>
    <w:rsid w:val="0008250B"/>
    <w:rsid w:val="00091028"/>
    <w:rsid w:val="00096520"/>
    <w:rsid w:val="000A1232"/>
    <w:rsid w:val="000A2FCC"/>
    <w:rsid w:val="000A66AD"/>
    <w:rsid w:val="000B1EB3"/>
    <w:rsid w:val="000B2942"/>
    <w:rsid w:val="000B4F29"/>
    <w:rsid w:val="000C6434"/>
    <w:rsid w:val="000D474C"/>
    <w:rsid w:val="000E2039"/>
    <w:rsid w:val="000E233E"/>
    <w:rsid w:val="000E2C10"/>
    <w:rsid w:val="000E778C"/>
    <w:rsid w:val="000F0489"/>
    <w:rsid w:val="000F1E3F"/>
    <w:rsid w:val="000F5C4E"/>
    <w:rsid w:val="001050BE"/>
    <w:rsid w:val="00106045"/>
    <w:rsid w:val="00107AB8"/>
    <w:rsid w:val="00112984"/>
    <w:rsid w:val="00113760"/>
    <w:rsid w:val="001146D7"/>
    <w:rsid w:val="0011609D"/>
    <w:rsid w:val="00125AA7"/>
    <w:rsid w:val="00127552"/>
    <w:rsid w:val="001407A6"/>
    <w:rsid w:val="00143211"/>
    <w:rsid w:val="00160E6C"/>
    <w:rsid w:val="00170806"/>
    <w:rsid w:val="00170FA2"/>
    <w:rsid w:val="001862A0"/>
    <w:rsid w:val="00191ADB"/>
    <w:rsid w:val="00193E26"/>
    <w:rsid w:val="00195EFA"/>
    <w:rsid w:val="00197E49"/>
    <w:rsid w:val="001A4386"/>
    <w:rsid w:val="001A47E4"/>
    <w:rsid w:val="001B369B"/>
    <w:rsid w:val="001C64AF"/>
    <w:rsid w:val="001D05FD"/>
    <w:rsid w:val="001D16D0"/>
    <w:rsid w:val="001D272A"/>
    <w:rsid w:val="001D382E"/>
    <w:rsid w:val="001D4630"/>
    <w:rsid w:val="001E027D"/>
    <w:rsid w:val="001E406E"/>
    <w:rsid w:val="001E4D9A"/>
    <w:rsid w:val="001F1407"/>
    <w:rsid w:val="001F45C0"/>
    <w:rsid w:val="00200457"/>
    <w:rsid w:val="00201F3E"/>
    <w:rsid w:val="00204219"/>
    <w:rsid w:val="002140C2"/>
    <w:rsid w:val="00216162"/>
    <w:rsid w:val="00217274"/>
    <w:rsid w:val="00220B8B"/>
    <w:rsid w:val="002230D7"/>
    <w:rsid w:val="00225B04"/>
    <w:rsid w:val="00230A7C"/>
    <w:rsid w:val="00242593"/>
    <w:rsid w:val="00245714"/>
    <w:rsid w:val="002470F2"/>
    <w:rsid w:val="00251EC4"/>
    <w:rsid w:val="002561C7"/>
    <w:rsid w:val="00257B76"/>
    <w:rsid w:val="00257E37"/>
    <w:rsid w:val="00274695"/>
    <w:rsid w:val="00281A84"/>
    <w:rsid w:val="00282806"/>
    <w:rsid w:val="00283BBB"/>
    <w:rsid w:val="00284D85"/>
    <w:rsid w:val="002A0D23"/>
    <w:rsid w:val="002A1894"/>
    <w:rsid w:val="002A7414"/>
    <w:rsid w:val="002B1CEA"/>
    <w:rsid w:val="002B4268"/>
    <w:rsid w:val="002B5779"/>
    <w:rsid w:val="002C7C3D"/>
    <w:rsid w:val="002D6E28"/>
    <w:rsid w:val="002D7F78"/>
    <w:rsid w:val="002E292D"/>
    <w:rsid w:val="0031203E"/>
    <w:rsid w:val="00321BC4"/>
    <w:rsid w:val="00321CCC"/>
    <w:rsid w:val="00322F8A"/>
    <w:rsid w:val="00327228"/>
    <w:rsid w:val="003307AD"/>
    <w:rsid w:val="0034019E"/>
    <w:rsid w:val="0034093B"/>
    <w:rsid w:val="0034415E"/>
    <w:rsid w:val="00344DC3"/>
    <w:rsid w:val="003530B4"/>
    <w:rsid w:val="00353547"/>
    <w:rsid w:val="00355C9A"/>
    <w:rsid w:val="0036588C"/>
    <w:rsid w:val="003722F2"/>
    <w:rsid w:val="00375E03"/>
    <w:rsid w:val="00383F0A"/>
    <w:rsid w:val="00384FBB"/>
    <w:rsid w:val="0038659C"/>
    <w:rsid w:val="003874B5"/>
    <w:rsid w:val="00390164"/>
    <w:rsid w:val="00391525"/>
    <w:rsid w:val="003947A7"/>
    <w:rsid w:val="00397000"/>
    <w:rsid w:val="003A1A85"/>
    <w:rsid w:val="003A1BAE"/>
    <w:rsid w:val="003A2AAB"/>
    <w:rsid w:val="003B1B66"/>
    <w:rsid w:val="003B4CDA"/>
    <w:rsid w:val="003C0BC2"/>
    <w:rsid w:val="003C5EFF"/>
    <w:rsid w:val="003D199D"/>
    <w:rsid w:val="003D65C8"/>
    <w:rsid w:val="003D7482"/>
    <w:rsid w:val="003E0595"/>
    <w:rsid w:val="003E577A"/>
    <w:rsid w:val="003F3EB2"/>
    <w:rsid w:val="003F602F"/>
    <w:rsid w:val="004018E5"/>
    <w:rsid w:val="004079AC"/>
    <w:rsid w:val="0042088A"/>
    <w:rsid w:val="00435F04"/>
    <w:rsid w:val="0044153C"/>
    <w:rsid w:val="0044326D"/>
    <w:rsid w:val="0044723B"/>
    <w:rsid w:val="00452564"/>
    <w:rsid w:val="0046423A"/>
    <w:rsid w:val="00467A0B"/>
    <w:rsid w:val="0047178A"/>
    <w:rsid w:val="00482066"/>
    <w:rsid w:val="00482218"/>
    <w:rsid w:val="00492054"/>
    <w:rsid w:val="0049240A"/>
    <w:rsid w:val="00497991"/>
    <w:rsid w:val="004979D9"/>
    <w:rsid w:val="004A3365"/>
    <w:rsid w:val="004A3CDA"/>
    <w:rsid w:val="004A3F50"/>
    <w:rsid w:val="004A4A17"/>
    <w:rsid w:val="004B2029"/>
    <w:rsid w:val="004B3B42"/>
    <w:rsid w:val="004B59ED"/>
    <w:rsid w:val="004B5BEB"/>
    <w:rsid w:val="004C5D18"/>
    <w:rsid w:val="004D24B6"/>
    <w:rsid w:val="004D44DD"/>
    <w:rsid w:val="004D4B86"/>
    <w:rsid w:val="004E13D2"/>
    <w:rsid w:val="004E7825"/>
    <w:rsid w:val="004F6D5A"/>
    <w:rsid w:val="0050259B"/>
    <w:rsid w:val="00506C5B"/>
    <w:rsid w:val="005101EB"/>
    <w:rsid w:val="005104C7"/>
    <w:rsid w:val="00513D27"/>
    <w:rsid w:val="005452CE"/>
    <w:rsid w:val="00546216"/>
    <w:rsid w:val="00555562"/>
    <w:rsid w:val="0056262E"/>
    <w:rsid w:val="00576DD5"/>
    <w:rsid w:val="005854CE"/>
    <w:rsid w:val="00585F8E"/>
    <w:rsid w:val="00587DA2"/>
    <w:rsid w:val="00592C36"/>
    <w:rsid w:val="00593295"/>
    <w:rsid w:val="00593EC9"/>
    <w:rsid w:val="005952CB"/>
    <w:rsid w:val="005A050F"/>
    <w:rsid w:val="005A5CDB"/>
    <w:rsid w:val="005A61A7"/>
    <w:rsid w:val="005A7442"/>
    <w:rsid w:val="005B2644"/>
    <w:rsid w:val="005C2C01"/>
    <w:rsid w:val="005C3BCB"/>
    <w:rsid w:val="005C4A10"/>
    <w:rsid w:val="005D282F"/>
    <w:rsid w:val="005D486C"/>
    <w:rsid w:val="005E3653"/>
    <w:rsid w:val="006002C5"/>
    <w:rsid w:val="00600B78"/>
    <w:rsid w:val="00602F72"/>
    <w:rsid w:val="00607F2F"/>
    <w:rsid w:val="00611177"/>
    <w:rsid w:val="00613810"/>
    <w:rsid w:val="00616372"/>
    <w:rsid w:val="00623FC0"/>
    <w:rsid w:val="0062588B"/>
    <w:rsid w:val="0062614A"/>
    <w:rsid w:val="00626587"/>
    <w:rsid w:val="006301BB"/>
    <w:rsid w:val="006335E3"/>
    <w:rsid w:val="00634164"/>
    <w:rsid w:val="006345BE"/>
    <w:rsid w:val="0063487D"/>
    <w:rsid w:val="006364B4"/>
    <w:rsid w:val="00636A1A"/>
    <w:rsid w:val="00636B45"/>
    <w:rsid w:val="00636EDC"/>
    <w:rsid w:val="00637585"/>
    <w:rsid w:val="006375B0"/>
    <w:rsid w:val="00646453"/>
    <w:rsid w:val="006478B5"/>
    <w:rsid w:val="006517FB"/>
    <w:rsid w:val="006540CF"/>
    <w:rsid w:val="006640CD"/>
    <w:rsid w:val="00672683"/>
    <w:rsid w:val="00676633"/>
    <w:rsid w:val="0068785A"/>
    <w:rsid w:val="006949AC"/>
    <w:rsid w:val="0069792B"/>
    <w:rsid w:val="006A0065"/>
    <w:rsid w:val="006A07FF"/>
    <w:rsid w:val="006A45E3"/>
    <w:rsid w:val="006B495C"/>
    <w:rsid w:val="006B7CF0"/>
    <w:rsid w:val="006C1328"/>
    <w:rsid w:val="006C3B33"/>
    <w:rsid w:val="006C57C3"/>
    <w:rsid w:val="006C5B8C"/>
    <w:rsid w:val="006C7E08"/>
    <w:rsid w:val="006D4436"/>
    <w:rsid w:val="006D47BC"/>
    <w:rsid w:val="006D5473"/>
    <w:rsid w:val="006E096A"/>
    <w:rsid w:val="006E54FA"/>
    <w:rsid w:val="006E74D8"/>
    <w:rsid w:val="006F1995"/>
    <w:rsid w:val="00703DF3"/>
    <w:rsid w:val="00704EA6"/>
    <w:rsid w:val="00705FC6"/>
    <w:rsid w:val="007123E6"/>
    <w:rsid w:val="00715380"/>
    <w:rsid w:val="00735765"/>
    <w:rsid w:val="00737CB4"/>
    <w:rsid w:val="007445DB"/>
    <w:rsid w:val="00745C36"/>
    <w:rsid w:val="007466C7"/>
    <w:rsid w:val="00756CB3"/>
    <w:rsid w:val="007571D0"/>
    <w:rsid w:val="0076204A"/>
    <w:rsid w:val="00763BCC"/>
    <w:rsid w:val="00764435"/>
    <w:rsid w:val="00771A37"/>
    <w:rsid w:val="00776248"/>
    <w:rsid w:val="00781742"/>
    <w:rsid w:val="00784C42"/>
    <w:rsid w:val="007900D1"/>
    <w:rsid w:val="007A0091"/>
    <w:rsid w:val="007A2FF2"/>
    <w:rsid w:val="007A4B61"/>
    <w:rsid w:val="007A5206"/>
    <w:rsid w:val="007D1661"/>
    <w:rsid w:val="007E4A38"/>
    <w:rsid w:val="007E57FB"/>
    <w:rsid w:val="007E6E9B"/>
    <w:rsid w:val="007F13D2"/>
    <w:rsid w:val="007F6DEA"/>
    <w:rsid w:val="007F6E5E"/>
    <w:rsid w:val="007F7A9B"/>
    <w:rsid w:val="008015DE"/>
    <w:rsid w:val="0080223A"/>
    <w:rsid w:val="00802FA1"/>
    <w:rsid w:val="00803464"/>
    <w:rsid w:val="00804AEF"/>
    <w:rsid w:val="00810BED"/>
    <w:rsid w:val="0081369A"/>
    <w:rsid w:val="00813C7C"/>
    <w:rsid w:val="00814169"/>
    <w:rsid w:val="008241BC"/>
    <w:rsid w:val="00825257"/>
    <w:rsid w:val="008264D2"/>
    <w:rsid w:val="008430EF"/>
    <w:rsid w:val="00852704"/>
    <w:rsid w:val="0087255B"/>
    <w:rsid w:val="008744BA"/>
    <w:rsid w:val="008755B4"/>
    <w:rsid w:val="008801B9"/>
    <w:rsid w:val="008807CA"/>
    <w:rsid w:val="0088170A"/>
    <w:rsid w:val="00884293"/>
    <w:rsid w:val="0088739B"/>
    <w:rsid w:val="00897885"/>
    <w:rsid w:val="008A5528"/>
    <w:rsid w:val="008B082C"/>
    <w:rsid w:val="008B2339"/>
    <w:rsid w:val="008C0607"/>
    <w:rsid w:val="008C11C9"/>
    <w:rsid w:val="008E1EF9"/>
    <w:rsid w:val="008E255B"/>
    <w:rsid w:val="008E5A5E"/>
    <w:rsid w:val="008F7135"/>
    <w:rsid w:val="0090461C"/>
    <w:rsid w:val="00905FA9"/>
    <w:rsid w:val="00914A41"/>
    <w:rsid w:val="0092010A"/>
    <w:rsid w:val="00920B42"/>
    <w:rsid w:val="009232B8"/>
    <w:rsid w:val="0092535A"/>
    <w:rsid w:val="009300FF"/>
    <w:rsid w:val="0093038E"/>
    <w:rsid w:val="009401FC"/>
    <w:rsid w:val="00951475"/>
    <w:rsid w:val="00951E63"/>
    <w:rsid w:val="0095363A"/>
    <w:rsid w:val="009658F6"/>
    <w:rsid w:val="00975873"/>
    <w:rsid w:val="009829B6"/>
    <w:rsid w:val="00984D72"/>
    <w:rsid w:val="0098699A"/>
    <w:rsid w:val="009946F3"/>
    <w:rsid w:val="00994772"/>
    <w:rsid w:val="00995024"/>
    <w:rsid w:val="00995B22"/>
    <w:rsid w:val="00995DA1"/>
    <w:rsid w:val="00995E45"/>
    <w:rsid w:val="009A0F9A"/>
    <w:rsid w:val="009A15AA"/>
    <w:rsid w:val="009A225C"/>
    <w:rsid w:val="009B30A4"/>
    <w:rsid w:val="009B73BF"/>
    <w:rsid w:val="009C166B"/>
    <w:rsid w:val="009C517C"/>
    <w:rsid w:val="009C7377"/>
    <w:rsid w:val="009D227C"/>
    <w:rsid w:val="009D47E3"/>
    <w:rsid w:val="009D6B55"/>
    <w:rsid w:val="009D7D0D"/>
    <w:rsid w:val="009E10F1"/>
    <w:rsid w:val="009E26F8"/>
    <w:rsid w:val="009E7427"/>
    <w:rsid w:val="009F43D9"/>
    <w:rsid w:val="009F6D3A"/>
    <w:rsid w:val="009F7BF3"/>
    <w:rsid w:val="00A0018F"/>
    <w:rsid w:val="00A00AC6"/>
    <w:rsid w:val="00A065FB"/>
    <w:rsid w:val="00A06667"/>
    <w:rsid w:val="00A12C8C"/>
    <w:rsid w:val="00A146B1"/>
    <w:rsid w:val="00A14BE0"/>
    <w:rsid w:val="00A21F51"/>
    <w:rsid w:val="00A25593"/>
    <w:rsid w:val="00A325B6"/>
    <w:rsid w:val="00A33961"/>
    <w:rsid w:val="00A345AF"/>
    <w:rsid w:val="00A43C09"/>
    <w:rsid w:val="00A57C9B"/>
    <w:rsid w:val="00A60862"/>
    <w:rsid w:val="00A63F5B"/>
    <w:rsid w:val="00A70F40"/>
    <w:rsid w:val="00A8176C"/>
    <w:rsid w:val="00A86FE4"/>
    <w:rsid w:val="00AA0455"/>
    <w:rsid w:val="00AA3386"/>
    <w:rsid w:val="00AA4620"/>
    <w:rsid w:val="00AA5D10"/>
    <w:rsid w:val="00AB0652"/>
    <w:rsid w:val="00AB1CB4"/>
    <w:rsid w:val="00AB5F27"/>
    <w:rsid w:val="00AC4F5F"/>
    <w:rsid w:val="00AC5AFB"/>
    <w:rsid w:val="00AC7F23"/>
    <w:rsid w:val="00AD1DAA"/>
    <w:rsid w:val="00AD27CD"/>
    <w:rsid w:val="00AD5287"/>
    <w:rsid w:val="00AD5715"/>
    <w:rsid w:val="00AD7802"/>
    <w:rsid w:val="00AE3AB3"/>
    <w:rsid w:val="00AE76D0"/>
    <w:rsid w:val="00AF3FF9"/>
    <w:rsid w:val="00B05F0A"/>
    <w:rsid w:val="00B0654C"/>
    <w:rsid w:val="00B11AB9"/>
    <w:rsid w:val="00B11CEC"/>
    <w:rsid w:val="00B1236E"/>
    <w:rsid w:val="00B15E47"/>
    <w:rsid w:val="00B16B9E"/>
    <w:rsid w:val="00B230B9"/>
    <w:rsid w:val="00B455BD"/>
    <w:rsid w:val="00B56A06"/>
    <w:rsid w:val="00B635AE"/>
    <w:rsid w:val="00B661E8"/>
    <w:rsid w:val="00B720A0"/>
    <w:rsid w:val="00B727A4"/>
    <w:rsid w:val="00B72EF7"/>
    <w:rsid w:val="00B74AD4"/>
    <w:rsid w:val="00B87848"/>
    <w:rsid w:val="00B903AA"/>
    <w:rsid w:val="00B94975"/>
    <w:rsid w:val="00BA28D4"/>
    <w:rsid w:val="00BA4438"/>
    <w:rsid w:val="00BC0AF9"/>
    <w:rsid w:val="00BC1933"/>
    <w:rsid w:val="00BC2796"/>
    <w:rsid w:val="00BD57A9"/>
    <w:rsid w:val="00BE3D27"/>
    <w:rsid w:val="00BE64D1"/>
    <w:rsid w:val="00BE6A06"/>
    <w:rsid w:val="00BF24F0"/>
    <w:rsid w:val="00BF66C5"/>
    <w:rsid w:val="00C00372"/>
    <w:rsid w:val="00C01AFF"/>
    <w:rsid w:val="00C01B51"/>
    <w:rsid w:val="00C05733"/>
    <w:rsid w:val="00C10453"/>
    <w:rsid w:val="00C10D99"/>
    <w:rsid w:val="00C2338C"/>
    <w:rsid w:val="00C24425"/>
    <w:rsid w:val="00C247D7"/>
    <w:rsid w:val="00C25652"/>
    <w:rsid w:val="00C25E94"/>
    <w:rsid w:val="00C32DD6"/>
    <w:rsid w:val="00C3552D"/>
    <w:rsid w:val="00C40361"/>
    <w:rsid w:val="00C428F6"/>
    <w:rsid w:val="00C437F2"/>
    <w:rsid w:val="00C4456B"/>
    <w:rsid w:val="00C46B16"/>
    <w:rsid w:val="00C50AB4"/>
    <w:rsid w:val="00C50B6A"/>
    <w:rsid w:val="00C564BC"/>
    <w:rsid w:val="00C654D8"/>
    <w:rsid w:val="00C65B32"/>
    <w:rsid w:val="00C6738E"/>
    <w:rsid w:val="00C72FF2"/>
    <w:rsid w:val="00C742B2"/>
    <w:rsid w:val="00C746B4"/>
    <w:rsid w:val="00C75254"/>
    <w:rsid w:val="00C828D2"/>
    <w:rsid w:val="00C86B84"/>
    <w:rsid w:val="00C90695"/>
    <w:rsid w:val="00C9121D"/>
    <w:rsid w:val="00C95394"/>
    <w:rsid w:val="00CA514B"/>
    <w:rsid w:val="00CB57AB"/>
    <w:rsid w:val="00CC0F48"/>
    <w:rsid w:val="00CC0F71"/>
    <w:rsid w:val="00CC2EE9"/>
    <w:rsid w:val="00CC3B70"/>
    <w:rsid w:val="00CC53F4"/>
    <w:rsid w:val="00CD1151"/>
    <w:rsid w:val="00CD56C0"/>
    <w:rsid w:val="00CD5A1A"/>
    <w:rsid w:val="00CE19D3"/>
    <w:rsid w:val="00CE23D2"/>
    <w:rsid w:val="00CE2569"/>
    <w:rsid w:val="00CE368A"/>
    <w:rsid w:val="00CE4FD2"/>
    <w:rsid w:val="00CF318C"/>
    <w:rsid w:val="00CF32A0"/>
    <w:rsid w:val="00D0006B"/>
    <w:rsid w:val="00D04F9D"/>
    <w:rsid w:val="00D06ED8"/>
    <w:rsid w:val="00D11449"/>
    <w:rsid w:val="00D12E71"/>
    <w:rsid w:val="00D13545"/>
    <w:rsid w:val="00D13F84"/>
    <w:rsid w:val="00D20EAC"/>
    <w:rsid w:val="00D25483"/>
    <w:rsid w:val="00D34C92"/>
    <w:rsid w:val="00D36E11"/>
    <w:rsid w:val="00D44066"/>
    <w:rsid w:val="00D56FD6"/>
    <w:rsid w:val="00D57187"/>
    <w:rsid w:val="00D60BBB"/>
    <w:rsid w:val="00D6143F"/>
    <w:rsid w:val="00D73FC9"/>
    <w:rsid w:val="00D8552B"/>
    <w:rsid w:val="00D859F9"/>
    <w:rsid w:val="00D8622A"/>
    <w:rsid w:val="00D868B7"/>
    <w:rsid w:val="00D87AED"/>
    <w:rsid w:val="00D95E15"/>
    <w:rsid w:val="00D9688A"/>
    <w:rsid w:val="00D972A1"/>
    <w:rsid w:val="00DA25EF"/>
    <w:rsid w:val="00DA547D"/>
    <w:rsid w:val="00DA5D37"/>
    <w:rsid w:val="00DB03BA"/>
    <w:rsid w:val="00DB1768"/>
    <w:rsid w:val="00DB1E9B"/>
    <w:rsid w:val="00DB618B"/>
    <w:rsid w:val="00DC1A16"/>
    <w:rsid w:val="00DC1DA8"/>
    <w:rsid w:val="00DD1A46"/>
    <w:rsid w:val="00DD4C58"/>
    <w:rsid w:val="00DD5193"/>
    <w:rsid w:val="00DE7F83"/>
    <w:rsid w:val="00DF101C"/>
    <w:rsid w:val="00E05BA8"/>
    <w:rsid w:val="00E128A1"/>
    <w:rsid w:val="00E14B0C"/>
    <w:rsid w:val="00E177D3"/>
    <w:rsid w:val="00E243BE"/>
    <w:rsid w:val="00E24B68"/>
    <w:rsid w:val="00E51F9D"/>
    <w:rsid w:val="00E53461"/>
    <w:rsid w:val="00E535F7"/>
    <w:rsid w:val="00E570E9"/>
    <w:rsid w:val="00E571E5"/>
    <w:rsid w:val="00E61D4E"/>
    <w:rsid w:val="00E635D7"/>
    <w:rsid w:val="00E70FA2"/>
    <w:rsid w:val="00E73B60"/>
    <w:rsid w:val="00E779FB"/>
    <w:rsid w:val="00E829B8"/>
    <w:rsid w:val="00E858C1"/>
    <w:rsid w:val="00E85E3E"/>
    <w:rsid w:val="00E916B2"/>
    <w:rsid w:val="00E918E9"/>
    <w:rsid w:val="00E95F05"/>
    <w:rsid w:val="00E96EDA"/>
    <w:rsid w:val="00EA2B82"/>
    <w:rsid w:val="00EA3811"/>
    <w:rsid w:val="00EA4ACE"/>
    <w:rsid w:val="00ED1A7D"/>
    <w:rsid w:val="00ED6B42"/>
    <w:rsid w:val="00ED7E9C"/>
    <w:rsid w:val="00EE037A"/>
    <w:rsid w:val="00EE0DB0"/>
    <w:rsid w:val="00EE0EAF"/>
    <w:rsid w:val="00EE3FAB"/>
    <w:rsid w:val="00EE45FC"/>
    <w:rsid w:val="00EE5C6B"/>
    <w:rsid w:val="00EE7DA5"/>
    <w:rsid w:val="00EF0843"/>
    <w:rsid w:val="00F00CBD"/>
    <w:rsid w:val="00F11B34"/>
    <w:rsid w:val="00F12A3C"/>
    <w:rsid w:val="00F15ACC"/>
    <w:rsid w:val="00F16199"/>
    <w:rsid w:val="00F21FC6"/>
    <w:rsid w:val="00F23594"/>
    <w:rsid w:val="00F2553C"/>
    <w:rsid w:val="00F274E4"/>
    <w:rsid w:val="00F3361D"/>
    <w:rsid w:val="00F33EDC"/>
    <w:rsid w:val="00F412B1"/>
    <w:rsid w:val="00F47053"/>
    <w:rsid w:val="00F55C65"/>
    <w:rsid w:val="00F56F47"/>
    <w:rsid w:val="00F70C42"/>
    <w:rsid w:val="00F743BC"/>
    <w:rsid w:val="00F82075"/>
    <w:rsid w:val="00F85B45"/>
    <w:rsid w:val="00F86B7D"/>
    <w:rsid w:val="00F86F0A"/>
    <w:rsid w:val="00F97133"/>
    <w:rsid w:val="00FA2AE2"/>
    <w:rsid w:val="00FB15A9"/>
    <w:rsid w:val="00FF0FE9"/>
    <w:rsid w:val="00FF2B05"/>
    <w:rsid w:val="26B43E9F"/>
    <w:rsid w:val="2793532D"/>
    <w:rsid w:val="360A0015"/>
    <w:rsid w:val="3A856A0F"/>
    <w:rsid w:val="3B1A66C2"/>
    <w:rsid w:val="52371DE8"/>
    <w:rsid w:val="52422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0"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30" w:afterLines="30" w:line="312"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qFormat/>
    <w:uiPriority w:val="9"/>
    <w:pPr>
      <w:keepNext/>
      <w:keepLines/>
      <w:numPr>
        <w:ilvl w:val="0"/>
        <w:numId w:val="1"/>
      </w:numPr>
      <w:spacing w:before="93" w:beforeAutospacing="1" w:after="93" w:afterAutospacing="1"/>
      <w:ind w:left="431" w:hanging="431"/>
      <w:outlineLvl w:val="0"/>
    </w:pPr>
    <w:rPr>
      <w:b/>
      <w:bCs/>
      <w:kern w:val="44"/>
      <w:sz w:val="30"/>
      <w:szCs w:val="44"/>
    </w:rPr>
  </w:style>
  <w:style w:type="paragraph" w:styleId="3">
    <w:name w:val="heading 2"/>
    <w:basedOn w:val="1"/>
    <w:next w:val="1"/>
    <w:link w:val="32"/>
    <w:unhideWhenUsed/>
    <w:qFormat/>
    <w:uiPriority w:val="9"/>
    <w:pPr>
      <w:keepNext/>
      <w:keepLines/>
      <w:numPr>
        <w:ilvl w:val="1"/>
        <w:numId w:val="1"/>
      </w:numPr>
      <w:spacing w:before="93" w:afterLines="0"/>
      <w:ind w:left="0" w:firstLine="0"/>
      <w:outlineLvl w:val="1"/>
    </w:pPr>
    <w:rPr>
      <w:rFonts w:asciiTheme="majorHAnsi" w:hAnsiTheme="majorHAnsi" w:eastAsiaTheme="majorEastAsia" w:cstheme="majorBidi"/>
      <w:b/>
      <w:bCs/>
      <w:sz w:val="28"/>
      <w:szCs w:val="32"/>
    </w:rPr>
  </w:style>
  <w:style w:type="paragraph" w:styleId="4">
    <w:name w:val="heading 3"/>
    <w:basedOn w:val="3"/>
    <w:next w:val="1"/>
    <w:link w:val="33"/>
    <w:unhideWhenUsed/>
    <w:qFormat/>
    <w:uiPriority w:val="9"/>
    <w:pPr>
      <w:outlineLvl w:val="2"/>
    </w:pPr>
  </w:style>
  <w:style w:type="paragraph" w:styleId="5">
    <w:name w:val="heading 4"/>
    <w:basedOn w:val="1"/>
    <w:next w:val="1"/>
    <w:link w:val="34"/>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36"/>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7"/>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38"/>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39"/>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6">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3"/>
    <w:unhideWhenUsed/>
    <w:qFormat/>
    <w:uiPriority w:val="99"/>
    <w:rPr>
      <w:rFonts w:ascii="宋体" w:eastAsia="宋体"/>
      <w:sz w:val="18"/>
      <w:szCs w:val="18"/>
    </w:rPr>
  </w:style>
  <w:style w:type="paragraph" w:styleId="12">
    <w:name w:val="annotation text"/>
    <w:basedOn w:val="1"/>
    <w:link w:val="44"/>
    <w:semiHidden/>
    <w:unhideWhenUsed/>
    <w:qFormat/>
    <w:uiPriority w:val="99"/>
    <w:pPr>
      <w:jc w:val="left"/>
    </w:pPr>
  </w:style>
  <w:style w:type="paragraph" w:styleId="13">
    <w:name w:val="Body Text Indent"/>
    <w:basedOn w:val="1"/>
    <w:link w:val="42"/>
    <w:qFormat/>
    <w:uiPriority w:val="99"/>
    <w:pPr>
      <w:spacing w:beforeLines="0" w:afterLines="0" w:line="400" w:lineRule="atLeast"/>
      <w:ind w:left="-6" w:firstLine="458" w:firstLineChars="191"/>
    </w:pPr>
    <w:rPr>
      <w:rFonts w:ascii="Times New Roman" w:hAnsi="Times New Roman" w:eastAsia="宋体" w:cs="Times New Roman"/>
      <w:sz w:val="24"/>
      <w:szCs w:val="24"/>
    </w:rPr>
  </w:style>
  <w:style w:type="paragraph" w:styleId="14">
    <w:name w:val="toc 3"/>
    <w:basedOn w:val="1"/>
    <w:next w:val="1"/>
    <w:autoRedefine/>
    <w:unhideWhenUsed/>
    <w:qFormat/>
    <w:uiPriority w:val="39"/>
    <w:pPr>
      <w:ind w:left="840" w:leftChars="400"/>
    </w:pPr>
  </w:style>
  <w:style w:type="paragraph" w:styleId="15">
    <w:name w:val="Balloon Text"/>
    <w:basedOn w:val="1"/>
    <w:link w:val="46"/>
    <w:semiHidden/>
    <w:unhideWhenUsed/>
    <w:qFormat/>
    <w:uiPriority w:val="99"/>
    <w:pPr>
      <w:spacing w:line="240" w:lineRule="auto"/>
    </w:pPr>
    <w:rPr>
      <w:sz w:val="18"/>
      <w:szCs w:val="18"/>
    </w:rPr>
  </w:style>
  <w:style w:type="paragraph" w:styleId="16">
    <w:name w:val="footer"/>
    <w:basedOn w:val="1"/>
    <w:link w:val="30"/>
    <w:unhideWhenUsed/>
    <w:qFormat/>
    <w:uiPriority w:val="99"/>
    <w:pPr>
      <w:tabs>
        <w:tab w:val="center" w:pos="4153"/>
        <w:tab w:val="right" w:pos="8306"/>
      </w:tabs>
      <w:snapToGrid w:val="0"/>
      <w:jc w:val="left"/>
    </w:pPr>
    <w:rPr>
      <w:sz w:val="18"/>
      <w:szCs w:val="18"/>
    </w:rPr>
  </w:style>
  <w:style w:type="paragraph" w:styleId="17">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toc 2"/>
    <w:basedOn w:val="1"/>
    <w:next w:val="1"/>
    <w:autoRedefine/>
    <w:unhideWhenUsed/>
    <w:qFormat/>
    <w:uiPriority w:val="39"/>
    <w:pPr>
      <w:ind w:left="420" w:leftChars="200"/>
    </w:pPr>
  </w:style>
  <w:style w:type="paragraph" w:styleId="20">
    <w:name w:val="Title"/>
    <w:basedOn w:val="1"/>
    <w:next w:val="2"/>
    <w:link w:val="47"/>
    <w:qFormat/>
    <w:uiPriority w:val="0"/>
    <w:pPr>
      <w:numPr>
        <w:ilvl w:val="0"/>
        <w:numId w:val="2"/>
      </w:numPr>
      <w:tabs>
        <w:tab w:val="left" w:pos="284"/>
      </w:tabs>
      <w:spacing w:beforeLines="0" w:afterLines="0" w:line="400" w:lineRule="atLeast"/>
      <w:jc w:val="left"/>
      <w:outlineLvl w:val="0"/>
    </w:pPr>
    <w:rPr>
      <w:rFonts w:ascii="Times New Roman" w:hAnsi="Times New Roman" w:eastAsia="宋体" w:cs="Times New Roman"/>
      <w:b/>
      <w:sz w:val="44"/>
      <w:szCs w:val="20"/>
    </w:rPr>
  </w:style>
  <w:style w:type="paragraph" w:styleId="21">
    <w:name w:val="annotation subject"/>
    <w:basedOn w:val="12"/>
    <w:next w:val="12"/>
    <w:link w:val="45"/>
    <w:semiHidden/>
    <w:unhideWhenUsed/>
    <w:qFormat/>
    <w:uiPriority w:val="99"/>
    <w:rPr>
      <w:b/>
      <w:bCs/>
    </w:rPr>
  </w:style>
  <w:style w:type="table" w:styleId="23">
    <w:name w:val="Table Grid"/>
    <w:basedOn w:val="22"/>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4">
    <w:name w:val="Medium Grid 1 Accent 2"/>
    <w:basedOn w:val="22"/>
    <w:qFormat/>
    <w:uiPriority w:val="0"/>
    <w:rPr>
      <w:rFonts w:ascii="Calibri" w:hAnsi="Calibri"/>
      <w:sz w:val="24"/>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CellMar>
        <w:top w:w="0" w:type="dxa"/>
        <w:left w:w="108" w:type="dxa"/>
        <w:bottom w:w="0" w:type="dxa"/>
        <w:right w:w="108" w:type="dxa"/>
      </w:tblCellMar>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5">
    <w:name w:val="Colorful List Accent 1"/>
    <w:basedOn w:val="22"/>
    <w:qFormat/>
    <w:uiPriority w:val="0"/>
    <w:rPr>
      <w:rFonts w:ascii="Calibri" w:hAnsi="Calibri"/>
      <w:sz w:val="24"/>
    </w:rPr>
    <w:tblPr>
      <w:tblCellMar>
        <w:top w:w="0" w:type="dxa"/>
        <w:left w:w="108" w:type="dxa"/>
        <w:bottom w:w="0" w:type="dxa"/>
        <w:right w:w="108" w:type="dxa"/>
      </w:tblCellMar>
    </w:tblPr>
    <w:tcPr>
      <w:shd w:val="clear" w:color="auto" w:fill="EEF5FA" w:themeFill="accent1" w:themeFillTint="19"/>
    </w:tcPr>
    <w:tblStylePr w:type="firstRow">
      <w:rPr>
        <w:b/>
        <w:bCs/>
        <w:color w:val="FFFFFF"/>
      </w:rPr>
      <w:tblPr/>
      <w:tcPr>
        <w:tcBorders>
          <w:bottom w:val="single" w:color="FFFFFF" w:themeColor="background1" w:sz="12" w:space="0"/>
        </w:tcBorders>
        <w:shd w:val="clear" w:color="auto" w:fill="D26012" w:themeFill="accent2" w:themeFillShade="CC"/>
      </w:tcPr>
    </w:tblStylePr>
    <w:tblStylePr w:type="lastRow">
      <w:rPr>
        <w:b/>
        <w:bCs/>
        <w:color w:val="9E3A38"/>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27">
    <w:name w:val="Hyperlink"/>
    <w:basedOn w:val="26"/>
    <w:unhideWhenUsed/>
    <w:qFormat/>
    <w:uiPriority w:val="99"/>
    <w:rPr>
      <w:color w:val="0563C1" w:themeColor="hyperlink"/>
      <w:u w:val="single"/>
      <w14:textFill>
        <w14:solidFill>
          <w14:schemeClr w14:val="hlink"/>
        </w14:solidFill>
      </w14:textFill>
    </w:rPr>
  </w:style>
  <w:style w:type="character" w:styleId="28">
    <w:name w:val="annotation reference"/>
    <w:basedOn w:val="26"/>
    <w:semiHidden/>
    <w:unhideWhenUsed/>
    <w:qFormat/>
    <w:uiPriority w:val="99"/>
    <w:rPr>
      <w:sz w:val="21"/>
      <w:szCs w:val="21"/>
    </w:rPr>
  </w:style>
  <w:style w:type="character" w:customStyle="1" w:styleId="29">
    <w:name w:val="页眉 Char"/>
    <w:basedOn w:val="26"/>
    <w:link w:val="17"/>
    <w:qFormat/>
    <w:uiPriority w:val="99"/>
    <w:rPr>
      <w:sz w:val="18"/>
      <w:szCs w:val="18"/>
    </w:rPr>
  </w:style>
  <w:style w:type="character" w:customStyle="1" w:styleId="30">
    <w:name w:val="页脚 Char"/>
    <w:basedOn w:val="26"/>
    <w:link w:val="16"/>
    <w:qFormat/>
    <w:uiPriority w:val="99"/>
    <w:rPr>
      <w:sz w:val="18"/>
      <w:szCs w:val="18"/>
    </w:rPr>
  </w:style>
  <w:style w:type="character" w:customStyle="1" w:styleId="31">
    <w:name w:val="标题 1 Char"/>
    <w:basedOn w:val="26"/>
    <w:link w:val="2"/>
    <w:qFormat/>
    <w:uiPriority w:val="9"/>
    <w:rPr>
      <w:b/>
      <w:bCs/>
      <w:kern w:val="44"/>
      <w:sz w:val="30"/>
      <w:szCs w:val="44"/>
    </w:rPr>
  </w:style>
  <w:style w:type="character" w:customStyle="1" w:styleId="32">
    <w:name w:val="标题 2 Char"/>
    <w:basedOn w:val="26"/>
    <w:link w:val="3"/>
    <w:qFormat/>
    <w:uiPriority w:val="9"/>
    <w:rPr>
      <w:rFonts w:asciiTheme="majorHAnsi" w:hAnsiTheme="majorHAnsi" w:eastAsiaTheme="majorEastAsia" w:cstheme="majorBidi"/>
      <w:b/>
      <w:bCs/>
      <w:sz w:val="28"/>
      <w:szCs w:val="32"/>
    </w:rPr>
  </w:style>
  <w:style w:type="character" w:customStyle="1" w:styleId="33">
    <w:name w:val="标题 3 Char"/>
    <w:basedOn w:val="26"/>
    <w:link w:val="4"/>
    <w:qFormat/>
    <w:uiPriority w:val="9"/>
    <w:rPr>
      <w:rFonts w:asciiTheme="majorHAnsi" w:hAnsiTheme="majorHAnsi" w:eastAsiaTheme="majorEastAsia" w:cstheme="majorBidi"/>
      <w:b/>
      <w:bCs/>
      <w:sz w:val="28"/>
      <w:szCs w:val="32"/>
    </w:rPr>
  </w:style>
  <w:style w:type="character" w:customStyle="1" w:styleId="34">
    <w:name w:val="标题 4 Char"/>
    <w:basedOn w:val="26"/>
    <w:link w:val="5"/>
    <w:semiHidden/>
    <w:qFormat/>
    <w:uiPriority w:val="9"/>
    <w:rPr>
      <w:rFonts w:asciiTheme="majorHAnsi" w:hAnsiTheme="majorHAnsi" w:eastAsiaTheme="majorEastAsia" w:cstheme="majorBidi"/>
      <w:b/>
      <w:bCs/>
      <w:sz w:val="28"/>
      <w:szCs w:val="28"/>
    </w:rPr>
  </w:style>
  <w:style w:type="character" w:customStyle="1" w:styleId="35">
    <w:name w:val="标题 5 Char"/>
    <w:basedOn w:val="26"/>
    <w:link w:val="6"/>
    <w:semiHidden/>
    <w:qFormat/>
    <w:uiPriority w:val="9"/>
    <w:rPr>
      <w:b/>
      <w:bCs/>
      <w:sz w:val="28"/>
      <w:szCs w:val="28"/>
    </w:rPr>
  </w:style>
  <w:style w:type="character" w:customStyle="1" w:styleId="36">
    <w:name w:val="标题 6 Char"/>
    <w:basedOn w:val="26"/>
    <w:link w:val="7"/>
    <w:semiHidden/>
    <w:qFormat/>
    <w:uiPriority w:val="9"/>
    <w:rPr>
      <w:rFonts w:asciiTheme="majorHAnsi" w:hAnsiTheme="majorHAnsi" w:eastAsiaTheme="majorEastAsia" w:cstheme="majorBidi"/>
      <w:b/>
      <w:bCs/>
      <w:sz w:val="24"/>
      <w:szCs w:val="24"/>
    </w:rPr>
  </w:style>
  <w:style w:type="character" w:customStyle="1" w:styleId="37">
    <w:name w:val="标题 7 Char"/>
    <w:basedOn w:val="26"/>
    <w:link w:val="8"/>
    <w:semiHidden/>
    <w:qFormat/>
    <w:uiPriority w:val="9"/>
    <w:rPr>
      <w:b/>
      <w:bCs/>
      <w:sz w:val="24"/>
      <w:szCs w:val="24"/>
    </w:rPr>
  </w:style>
  <w:style w:type="character" w:customStyle="1" w:styleId="38">
    <w:name w:val="标题 8 Char"/>
    <w:basedOn w:val="26"/>
    <w:link w:val="9"/>
    <w:semiHidden/>
    <w:qFormat/>
    <w:uiPriority w:val="9"/>
    <w:rPr>
      <w:rFonts w:asciiTheme="majorHAnsi" w:hAnsiTheme="majorHAnsi" w:eastAsiaTheme="majorEastAsia" w:cstheme="majorBidi"/>
      <w:sz w:val="24"/>
      <w:szCs w:val="24"/>
    </w:rPr>
  </w:style>
  <w:style w:type="character" w:customStyle="1" w:styleId="39">
    <w:name w:val="标题 9 Char"/>
    <w:basedOn w:val="26"/>
    <w:link w:val="10"/>
    <w:semiHidden/>
    <w:qFormat/>
    <w:uiPriority w:val="9"/>
    <w:rPr>
      <w:rFonts w:asciiTheme="majorHAnsi" w:hAnsiTheme="majorHAnsi" w:eastAsiaTheme="majorEastAsia" w:cstheme="majorBidi"/>
      <w:szCs w:val="21"/>
    </w:rPr>
  </w:style>
  <w:style w:type="paragraph" w:styleId="40">
    <w:name w:val="List Paragraph"/>
    <w:basedOn w:val="1"/>
    <w:qFormat/>
    <w:uiPriority w:val="34"/>
    <w:pPr>
      <w:ind w:firstLine="420" w:firstLineChars="200"/>
    </w:pPr>
  </w:style>
  <w:style w:type="paragraph" w:customStyle="1" w:styleId="41">
    <w:name w:val="TOC Heading"/>
    <w:basedOn w:val="2"/>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bCs w:val="0"/>
      <w:color w:val="2E75B6" w:themeColor="accent1" w:themeShade="BF"/>
      <w:kern w:val="0"/>
      <w:szCs w:val="32"/>
    </w:rPr>
  </w:style>
  <w:style w:type="character" w:customStyle="1" w:styleId="42">
    <w:name w:val="正文文本缩进 Char"/>
    <w:basedOn w:val="26"/>
    <w:link w:val="13"/>
    <w:qFormat/>
    <w:uiPriority w:val="99"/>
    <w:rPr>
      <w:rFonts w:ascii="Times New Roman" w:hAnsi="Times New Roman" w:eastAsia="宋体" w:cs="Times New Roman"/>
      <w:sz w:val="24"/>
      <w:szCs w:val="24"/>
    </w:rPr>
  </w:style>
  <w:style w:type="character" w:customStyle="1" w:styleId="43">
    <w:name w:val="文档结构图 Char"/>
    <w:basedOn w:val="26"/>
    <w:link w:val="11"/>
    <w:qFormat/>
    <w:uiPriority w:val="99"/>
    <w:rPr>
      <w:rFonts w:ascii="宋体" w:eastAsia="宋体"/>
      <w:sz w:val="18"/>
      <w:szCs w:val="18"/>
    </w:rPr>
  </w:style>
  <w:style w:type="character" w:customStyle="1" w:styleId="44">
    <w:name w:val="批注文字 Char"/>
    <w:basedOn w:val="26"/>
    <w:link w:val="12"/>
    <w:semiHidden/>
    <w:qFormat/>
    <w:uiPriority w:val="99"/>
  </w:style>
  <w:style w:type="character" w:customStyle="1" w:styleId="45">
    <w:name w:val="批注主题 Char"/>
    <w:basedOn w:val="44"/>
    <w:link w:val="21"/>
    <w:semiHidden/>
    <w:qFormat/>
    <w:uiPriority w:val="99"/>
    <w:rPr>
      <w:b/>
      <w:bCs/>
    </w:rPr>
  </w:style>
  <w:style w:type="character" w:customStyle="1" w:styleId="46">
    <w:name w:val="批注框文本 Char"/>
    <w:basedOn w:val="26"/>
    <w:link w:val="15"/>
    <w:semiHidden/>
    <w:qFormat/>
    <w:uiPriority w:val="99"/>
    <w:rPr>
      <w:sz w:val="18"/>
      <w:szCs w:val="18"/>
    </w:rPr>
  </w:style>
  <w:style w:type="character" w:customStyle="1" w:styleId="47">
    <w:name w:val="标题 Char"/>
    <w:basedOn w:val="26"/>
    <w:link w:val="20"/>
    <w:qFormat/>
    <w:uiPriority w:val="0"/>
    <w:rPr>
      <w:rFonts w:ascii="Times New Roman" w:hAnsi="Times New Roman" w:eastAsia="宋体" w:cs="Times New Roman"/>
      <w:b/>
      <w:sz w:val="44"/>
      <w:szCs w:val="20"/>
    </w:rPr>
  </w:style>
  <w:style w:type="paragraph" w:customStyle="1" w:styleId="48">
    <w:name w:val="标题 11"/>
    <w:basedOn w:val="1"/>
    <w:qFormat/>
    <w:uiPriority w:val="0"/>
    <w:pPr>
      <w:widowControl/>
      <w:numPr>
        <w:ilvl w:val="0"/>
        <w:numId w:val="3"/>
      </w:numPr>
      <w:spacing w:beforeLines="0" w:afterLines="0" w:line="240" w:lineRule="auto"/>
      <w:jc w:val="left"/>
    </w:pPr>
    <w:rPr>
      <w:kern w:val="0"/>
      <w:sz w:val="24"/>
      <w:szCs w:val="24"/>
    </w:rPr>
  </w:style>
  <w:style w:type="paragraph" w:customStyle="1" w:styleId="49">
    <w:name w:val="标题 21"/>
    <w:basedOn w:val="1"/>
    <w:qFormat/>
    <w:uiPriority w:val="0"/>
    <w:pPr>
      <w:widowControl/>
      <w:numPr>
        <w:ilvl w:val="1"/>
        <w:numId w:val="3"/>
      </w:numPr>
      <w:spacing w:beforeLines="0" w:afterLines="0" w:line="240" w:lineRule="auto"/>
      <w:jc w:val="left"/>
    </w:pPr>
    <w:rPr>
      <w:kern w:val="0"/>
      <w:sz w:val="24"/>
      <w:szCs w:val="24"/>
    </w:rPr>
  </w:style>
  <w:style w:type="paragraph" w:customStyle="1" w:styleId="50">
    <w:name w:val="标题 31"/>
    <w:basedOn w:val="1"/>
    <w:qFormat/>
    <w:uiPriority w:val="0"/>
    <w:pPr>
      <w:widowControl/>
      <w:numPr>
        <w:ilvl w:val="2"/>
        <w:numId w:val="3"/>
      </w:numPr>
      <w:spacing w:beforeLines="0" w:afterLines="0" w:line="240" w:lineRule="auto"/>
      <w:jc w:val="left"/>
    </w:pPr>
    <w:rPr>
      <w:kern w:val="0"/>
      <w:sz w:val="24"/>
      <w:szCs w:val="24"/>
    </w:rPr>
  </w:style>
  <w:style w:type="paragraph" w:customStyle="1" w:styleId="51">
    <w:name w:val="标题 41"/>
    <w:basedOn w:val="1"/>
    <w:qFormat/>
    <w:uiPriority w:val="0"/>
    <w:pPr>
      <w:widowControl/>
      <w:numPr>
        <w:ilvl w:val="3"/>
        <w:numId w:val="3"/>
      </w:numPr>
      <w:spacing w:beforeLines="0" w:afterLines="0" w:line="240" w:lineRule="auto"/>
      <w:jc w:val="left"/>
    </w:pPr>
    <w:rPr>
      <w:kern w:val="0"/>
      <w:sz w:val="24"/>
      <w:szCs w:val="24"/>
    </w:rPr>
  </w:style>
  <w:style w:type="paragraph" w:customStyle="1" w:styleId="52">
    <w:name w:val="标题 51"/>
    <w:basedOn w:val="1"/>
    <w:qFormat/>
    <w:uiPriority w:val="0"/>
    <w:pPr>
      <w:widowControl/>
      <w:numPr>
        <w:ilvl w:val="4"/>
        <w:numId w:val="3"/>
      </w:numPr>
      <w:spacing w:beforeLines="0" w:afterLines="0" w:line="240" w:lineRule="auto"/>
      <w:jc w:val="left"/>
    </w:pPr>
    <w:rPr>
      <w:kern w:val="0"/>
      <w:sz w:val="24"/>
      <w:szCs w:val="24"/>
    </w:rPr>
  </w:style>
  <w:style w:type="paragraph" w:customStyle="1" w:styleId="53">
    <w:name w:val="标题 61"/>
    <w:basedOn w:val="1"/>
    <w:qFormat/>
    <w:uiPriority w:val="0"/>
    <w:pPr>
      <w:widowControl/>
      <w:numPr>
        <w:ilvl w:val="5"/>
        <w:numId w:val="3"/>
      </w:numPr>
      <w:spacing w:beforeLines="0" w:afterLines="0" w:line="240" w:lineRule="auto"/>
      <w:jc w:val="left"/>
    </w:pPr>
    <w:rPr>
      <w:kern w:val="0"/>
      <w:sz w:val="24"/>
      <w:szCs w:val="24"/>
    </w:rPr>
  </w:style>
  <w:style w:type="paragraph" w:customStyle="1" w:styleId="54">
    <w:name w:val="标题 71"/>
    <w:basedOn w:val="1"/>
    <w:qFormat/>
    <w:uiPriority w:val="0"/>
    <w:pPr>
      <w:widowControl/>
      <w:numPr>
        <w:ilvl w:val="6"/>
        <w:numId w:val="3"/>
      </w:numPr>
      <w:spacing w:beforeLines="0" w:afterLines="0" w:line="240" w:lineRule="auto"/>
      <w:jc w:val="left"/>
    </w:pPr>
    <w:rPr>
      <w:kern w:val="0"/>
      <w:sz w:val="24"/>
      <w:szCs w:val="24"/>
    </w:rPr>
  </w:style>
  <w:style w:type="paragraph" w:customStyle="1" w:styleId="55">
    <w:name w:val="标题 81"/>
    <w:basedOn w:val="1"/>
    <w:qFormat/>
    <w:uiPriority w:val="0"/>
    <w:pPr>
      <w:widowControl/>
      <w:numPr>
        <w:ilvl w:val="7"/>
        <w:numId w:val="3"/>
      </w:numPr>
      <w:spacing w:beforeLines="0" w:afterLines="0" w:line="240" w:lineRule="auto"/>
      <w:jc w:val="left"/>
    </w:pPr>
    <w:rPr>
      <w:kern w:val="0"/>
      <w:sz w:val="24"/>
      <w:szCs w:val="24"/>
    </w:rPr>
  </w:style>
  <w:style w:type="paragraph" w:customStyle="1" w:styleId="56">
    <w:name w:val="标题 91"/>
    <w:basedOn w:val="1"/>
    <w:qFormat/>
    <w:uiPriority w:val="0"/>
    <w:pPr>
      <w:widowControl/>
      <w:numPr>
        <w:ilvl w:val="8"/>
        <w:numId w:val="3"/>
      </w:numPr>
      <w:spacing w:beforeLines="0" w:afterLines="0" w:line="240" w:lineRule="auto"/>
      <w:jc w:val="left"/>
    </w:pPr>
    <w:rPr>
      <w:kern w:val="0"/>
      <w:sz w:val="24"/>
      <w:szCs w:val="24"/>
    </w:rPr>
  </w:style>
  <w:style w:type="character" w:customStyle="1" w:styleId="57">
    <w:name w:val="彩色列表 - 着色 1 Char"/>
    <w:qFormat/>
    <w:uiPriority w:val="0"/>
    <w:rPr>
      <w:rFonts w:ascii="Calibri" w:hAnsi="Calibri"/>
      <w:kern w:val="2"/>
      <w:sz w:val="24"/>
      <w:szCs w:val="22"/>
    </w:rPr>
  </w:style>
  <w:style w:type="paragraph" w:customStyle="1" w:styleId="58">
    <w:name w:val="正文5"/>
    <w:basedOn w:val="1"/>
    <w:qFormat/>
    <w:uiPriority w:val="99"/>
    <w:pPr>
      <w:widowControl/>
      <w:numPr>
        <w:ilvl w:val="0"/>
        <w:numId w:val="4"/>
      </w:numPr>
      <w:adjustRightInd w:val="0"/>
      <w:snapToGrid w:val="0"/>
      <w:spacing w:beforeLines="0" w:afterLines="0" w:line="360" w:lineRule="auto"/>
      <w:jc w:val="left"/>
    </w:pPr>
    <w:rPr>
      <w:rFonts w:ascii="宋体" w:hAnsi="宋体" w:eastAsia="宋体" w:cs="Times New Roman"/>
      <w:b/>
      <w:bCs/>
      <w:sz w:val="24"/>
      <w:szCs w:val="24"/>
    </w:rPr>
  </w:style>
  <w:style w:type="character" w:customStyle="1" w:styleId="59">
    <w:name w:val="中等深浅网格 1 - 强调文字颜色 2 Char"/>
    <w:qFormat/>
    <w:uiPriority w:val="0"/>
    <w:rPr>
      <w:rFonts w:ascii="Calibri" w:hAnsi="Calibri"/>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65D9F-B060-45DC-B69A-B0CAD7D23F32}">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3344</Words>
  <Characters>3596</Characters>
  <Lines>95</Lines>
  <Paragraphs>26</Paragraphs>
  <TotalTime>8</TotalTime>
  <ScaleCrop>false</ScaleCrop>
  <LinksUpToDate>false</LinksUpToDate>
  <CharactersWithSpaces>3684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2016-03-02T01:47:00Z</dcterms:created>
  <dc:creator>xiongwei lian</dc:creator>
  <cp:lastModifiedBy>bella </cp:lastModifiedBy>
  <cp:lastPrinted>2016-03-17T02:37:00Z</cp:lastPrinted>
  <dcterms:modified xsi:type="dcterms:W3CDTF">2025-08-07T10:54:29Z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C22D5E90DD1347D4A139C6A3B9592404_13</vt:lpwstr>
  </property>
  <property fmtid="{D5CDD505-2E9C-101B-9397-08002B2CF9AE}" pid="4" name="KSOTemplateDocerSaveRecord">
    <vt:lpwstr>eyJoZGlkIjoiNGZkYWZhNzk3OWU0YzczZmM4MzcxOGUzNGUxZDU4ODkiLCJ1c2VySWQiOiI1NDgxMTIxNTAifQ==</vt:lpwstr>
  </property>
</Properties>
</file>